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BA1207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May 22</w:t>
      </w:r>
      <w:r w:rsidR="00927143">
        <w:rPr>
          <w:rFonts w:ascii="Arial" w:hAnsi="Arial" w:cs="Arial"/>
        </w:rPr>
        <w:t>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B3173D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Bjella</w:t>
      </w:r>
      <w:proofErr w:type="spellEnd"/>
      <w:r>
        <w:rPr>
          <w:rFonts w:ascii="Arial" w:hAnsi="Arial" w:cs="Arial"/>
        </w:rPr>
        <w:t xml:space="preserve"> </w:t>
      </w:r>
    </w:p>
    <w:p w:rsidR="00AF3493" w:rsidRDefault="00B3173D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Crowley Fleck</w:t>
      </w:r>
    </w:p>
    <w:p w:rsidR="005517AA" w:rsidRDefault="00B3173D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PO Box 2798</w:t>
      </w:r>
    </w:p>
    <w:p w:rsidR="00AF3493" w:rsidRDefault="00BA1207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 xml:space="preserve">Bismarck ND  </w:t>
      </w:r>
      <w:r w:rsidR="00304494" w:rsidRPr="00304494">
        <w:rPr>
          <w:rFonts w:ascii="Arial" w:hAnsi="Arial" w:cs="Arial"/>
        </w:rPr>
        <w:t>585</w:t>
      </w:r>
      <w:r w:rsidR="00B3173D">
        <w:rPr>
          <w:rFonts w:ascii="Arial" w:hAnsi="Arial" w:cs="Arial"/>
        </w:rPr>
        <w:t>02-2798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B3173D">
        <w:rPr>
          <w:rFonts w:ascii="Arial" w:hAnsi="Arial" w:cs="Arial"/>
        </w:rPr>
        <w:t>06-330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173D">
        <w:rPr>
          <w:rFonts w:ascii="Arial" w:hAnsi="Arial" w:cs="Arial"/>
        </w:rPr>
        <w:t>Enbridge Pipelines (North Dakota) LLC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173D">
        <w:rPr>
          <w:rFonts w:ascii="Arial" w:hAnsi="Arial" w:cs="Arial"/>
        </w:rPr>
        <w:t>Trenton to Beaver Lodge Pipeline- Williams County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1207">
        <w:rPr>
          <w:rFonts w:ascii="Arial" w:hAnsi="Arial" w:cs="Arial"/>
        </w:rPr>
        <w:t xml:space="preserve">Siting </w:t>
      </w:r>
      <w:r w:rsidR="00712BF0">
        <w:rPr>
          <w:rFonts w:ascii="Arial" w:hAnsi="Arial" w:cs="Arial"/>
        </w:rPr>
        <w:t>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936B61">
        <w:rPr>
          <w:rFonts w:ascii="Arial" w:hAnsi="Arial" w:cs="Arial"/>
        </w:rPr>
        <w:t xml:space="preserve"> siting</w:t>
      </w:r>
      <w:r w:rsidR="00327077">
        <w:rPr>
          <w:rFonts w:ascii="Arial" w:hAnsi="Arial" w:cs="Arial"/>
        </w:rPr>
        <w:t xml:space="preserve"> application fee refund approved at the </w:t>
      </w:r>
      <w:r w:rsidR="00936B61">
        <w:rPr>
          <w:rFonts w:ascii="Arial" w:hAnsi="Arial" w:cs="Arial"/>
        </w:rPr>
        <w:t>May 22</w:t>
      </w:r>
      <w:r w:rsidR="00927143">
        <w:rPr>
          <w:rFonts w:ascii="Arial" w:hAnsi="Arial" w:cs="Arial"/>
        </w:rPr>
        <w:t>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B3173D">
        <w:rPr>
          <w:rFonts w:ascii="Arial" w:hAnsi="Arial" w:cs="Arial"/>
        </w:rPr>
        <w:t>16.14</w:t>
      </w:r>
      <w:r w:rsidR="0062222A">
        <w:rPr>
          <w:rFonts w:ascii="Arial" w:hAnsi="Arial" w:cs="Arial"/>
        </w:rPr>
        <w:t xml:space="preserve"> for</w:t>
      </w:r>
      <w:r w:rsidR="00304494">
        <w:rPr>
          <w:rFonts w:ascii="Arial" w:hAnsi="Arial" w:cs="Arial"/>
        </w:rPr>
        <w:t xml:space="preserve"> C</w:t>
      </w:r>
      <w:r w:rsidR="00B3173D">
        <w:rPr>
          <w:rFonts w:ascii="Arial" w:hAnsi="Arial" w:cs="Arial"/>
        </w:rPr>
        <w:t xml:space="preserve">ase No. </w:t>
      </w:r>
      <w:proofErr w:type="gramStart"/>
      <w:r w:rsidR="00B3173D">
        <w:rPr>
          <w:rFonts w:ascii="Arial" w:hAnsi="Arial" w:cs="Arial"/>
        </w:rPr>
        <w:t>PU-06-330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r w:rsidR="006D3CC4">
        <w:rPr>
          <w:rFonts w:ascii="Arial" w:hAnsi="Arial" w:cs="Arial"/>
        </w:rPr>
        <w:t xml:space="preserve">refund, or the </w:t>
      </w:r>
      <w:bookmarkStart w:id="0" w:name="_GoBack"/>
      <w:bookmarkEnd w:id="0"/>
      <w:r w:rsidR="006D3CC4">
        <w:rPr>
          <w:rFonts w:ascii="Arial" w:hAnsi="Arial" w:cs="Arial"/>
        </w:rPr>
        <w:t>expenditures, please contacts</w:t>
      </w:r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936B61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22</w:t>
      </w:r>
      <w:r w:rsidR="00927143">
        <w:rPr>
          <w:rFonts w:ascii="Arial" w:hAnsi="Arial" w:cs="Arial"/>
          <w:b/>
        </w:rPr>
        <w:t>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B3173D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Enbridge Pipelines (North Dakota) LLC</w:t>
            </w:r>
          </w:p>
          <w:p w:rsidR="00AF3493" w:rsidRDefault="00B3173D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Trenton to Beaver Lodge Pipeline- Williams County</w:t>
            </w:r>
          </w:p>
          <w:p w:rsidR="00AF3493" w:rsidRPr="007D5D38" w:rsidRDefault="00936B61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Siting </w:t>
            </w:r>
            <w:r w:rsidR="00192984"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B91192">
              <w:rPr>
                <w:rFonts w:ascii="Arial" w:hAnsi="Arial" w:cs="Arial"/>
                <w:b/>
              </w:rPr>
              <w:t>0</w:t>
            </w:r>
            <w:r w:rsidR="00B3173D">
              <w:rPr>
                <w:rFonts w:ascii="Arial" w:hAnsi="Arial" w:cs="Arial"/>
                <w:b/>
              </w:rPr>
              <w:t>6-330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B3173D">
              <w:rPr>
                <w:rFonts w:ascii="Arial" w:hAnsi="Arial" w:cs="Arial"/>
                <w:b/>
              </w:rPr>
              <w:t>100,000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B353E8" w:rsidRDefault="00B353E8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State-Air Transportation</w:t>
            </w:r>
          </w:p>
          <w:p w:rsidR="00406DF8" w:rsidRDefault="00DD31E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  <w:p w:rsidR="00936B61" w:rsidRDefault="00936B61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Engineers</w:t>
            </w:r>
          </w:p>
          <w:p w:rsidR="006D50BC" w:rsidRDefault="00B353E8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State-Meals</w:t>
            </w:r>
          </w:p>
          <w:p w:rsidR="00B353E8" w:rsidRDefault="00B353E8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Meals Taxable</w:t>
            </w:r>
          </w:p>
          <w:p w:rsidR="006D50BC" w:rsidRDefault="00936B61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</w:t>
            </w:r>
            <w:r w:rsidR="00C528CE">
              <w:rPr>
                <w:rFonts w:ascii="Arial" w:hAnsi="Arial" w:cs="Arial"/>
              </w:rPr>
              <w:t>gineering Consultants</w:t>
            </w:r>
          </w:p>
          <w:p w:rsidR="00304494" w:rsidRDefault="0030449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Motor/Aircraft Pool</w:t>
            </w:r>
          </w:p>
          <w:p w:rsidR="00B353E8" w:rsidRDefault="00B353E8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Legal-Administrative Hearing</w:t>
            </w:r>
          </w:p>
          <w:p w:rsidR="006D50BC" w:rsidRPr="006D197F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B353E8" w:rsidRDefault="00936B61" w:rsidP="00304494">
            <w:pPr>
              <w:tabs>
                <w:tab w:val="right" w:pos="24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304494">
              <w:rPr>
                <w:rFonts w:ascii="Arial" w:hAnsi="Arial" w:cs="Arial"/>
              </w:rPr>
              <w:tab/>
            </w:r>
            <w:r w:rsidR="00B353E8">
              <w:rPr>
                <w:rFonts w:ascii="Arial" w:hAnsi="Arial" w:cs="Arial"/>
              </w:rPr>
              <w:t>1,660.00</w:t>
            </w:r>
          </w:p>
          <w:p w:rsidR="00406DF8" w:rsidRDefault="00B353E8" w:rsidP="00304494">
            <w:pPr>
              <w:tabs>
                <w:tab w:val="right" w:pos="24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B3173D">
              <w:rPr>
                <w:rFonts w:ascii="Arial" w:hAnsi="Arial" w:cs="Arial"/>
              </w:rPr>
              <w:t>597.12</w:t>
            </w:r>
          </w:p>
          <w:p w:rsidR="00936B61" w:rsidRDefault="00B353E8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354.51</w:t>
            </w:r>
          </w:p>
          <w:p w:rsidR="006D50BC" w:rsidRDefault="00B353E8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12.50</w:t>
            </w:r>
          </w:p>
          <w:p w:rsidR="00B353E8" w:rsidRDefault="00B353E8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</w:t>
            </w:r>
          </w:p>
          <w:p w:rsidR="006D50BC" w:rsidRDefault="00B353E8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4,549.62</w:t>
            </w:r>
          </w:p>
          <w:p w:rsidR="00304494" w:rsidRDefault="00B353E8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67.23</w:t>
            </w:r>
          </w:p>
          <w:p w:rsidR="00B353E8" w:rsidRDefault="00B353E8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1,152.54</w:t>
            </w:r>
          </w:p>
          <w:p w:rsidR="006D50BC" w:rsidRPr="006D197F" w:rsidRDefault="006D50BC" w:rsidP="00927143">
            <w:pPr>
              <w:tabs>
                <w:tab w:val="left" w:pos="5220"/>
              </w:tabs>
              <w:jc w:val="center"/>
              <w:rPr>
                <w:rFonts w:ascii="Arial" w:hAnsi="Arial" w:cs="Arial"/>
              </w:rPr>
            </w:pP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528CE" w:rsidRDefault="00B353E8" w:rsidP="00C528CE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8,428.52</w:t>
            </w:r>
          </w:p>
          <w:p w:rsidR="00C528CE" w:rsidRPr="006D197F" w:rsidRDefault="00C528CE" w:rsidP="00C528CE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  <w:p w:rsidR="00C528CE" w:rsidRP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C528CE">
              <w:rPr>
                <w:rFonts w:ascii="Arial" w:hAnsi="Arial" w:cs="Arial"/>
              </w:rPr>
              <w:t xml:space="preserve">Siting Interim Refund </w:t>
            </w:r>
          </w:p>
          <w:p w:rsid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  <w:p w:rsid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  <w:p w:rsidR="00C528CE" w:rsidRDefault="00B353E8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91,555.34</w:t>
            </w:r>
          </w:p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304494">
              <w:rPr>
                <w:rFonts w:ascii="Arial" w:hAnsi="Arial" w:cs="Arial"/>
                <w:b/>
              </w:rPr>
              <w:t>1</w:t>
            </w:r>
            <w:r w:rsidR="00B353E8">
              <w:rPr>
                <w:rFonts w:ascii="Arial" w:hAnsi="Arial" w:cs="Arial"/>
                <w:b/>
              </w:rPr>
              <w:t>6.14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6E7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04494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1D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3CC4"/>
    <w:rsid w:val="006D4009"/>
    <w:rsid w:val="006D50BC"/>
    <w:rsid w:val="006D70A3"/>
    <w:rsid w:val="006E1C59"/>
    <w:rsid w:val="006E664B"/>
    <w:rsid w:val="006F0AE5"/>
    <w:rsid w:val="006F76DB"/>
    <w:rsid w:val="006F7B01"/>
    <w:rsid w:val="00701A29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06E3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6C8A"/>
    <w:rsid w:val="00925007"/>
    <w:rsid w:val="009257D0"/>
    <w:rsid w:val="00927143"/>
    <w:rsid w:val="00935647"/>
    <w:rsid w:val="009365F5"/>
    <w:rsid w:val="00936B61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3173D"/>
    <w:rsid w:val="00B353E8"/>
    <w:rsid w:val="00B43467"/>
    <w:rsid w:val="00B5158E"/>
    <w:rsid w:val="00B5305B"/>
    <w:rsid w:val="00B71F88"/>
    <w:rsid w:val="00B76999"/>
    <w:rsid w:val="00B81874"/>
    <w:rsid w:val="00B90744"/>
    <w:rsid w:val="00B91192"/>
    <w:rsid w:val="00B94FA7"/>
    <w:rsid w:val="00B96EC4"/>
    <w:rsid w:val="00B97AAF"/>
    <w:rsid w:val="00BA08A2"/>
    <w:rsid w:val="00BA1207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528CE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C186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75EA8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B6DA-65C5-4CE9-9078-231C3852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4</cp:revision>
  <cp:lastPrinted>2010-11-29T16:35:00Z</cp:lastPrinted>
  <dcterms:created xsi:type="dcterms:W3CDTF">2013-05-15T21:14:00Z</dcterms:created>
  <dcterms:modified xsi:type="dcterms:W3CDTF">2013-06-12T20:50:00Z</dcterms:modified>
</cp:coreProperties>
</file>