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7D6" w:rsidRDefault="00FE37D6" w:rsidP="00FE37D6">
      <w:pPr>
        <w:rPr>
          <w:rFonts w:ascii="Arial" w:hAnsi="Arial" w:cs="Arial"/>
        </w:rPr>
      </w:pPr>
    </w:p>
    <w:p w:rsidR="00FF5266" w:rsidRPr="00E719C8" w:rsidRDefault="00FF5266" w:rsidP="00FE37D6">
      <w:pPr>
        <w:rPr>
          <w:rFonts w:ascii="Arial" w:hAnsi="Arial" w:cs="Arial"/>
        </w:rPr>
      </w:pPr>
    </w:p>
    <w:p w:rsidR="00FE37D6" w:rsidRPr="00E719C8" w:rsidRDefault="00FE37D6" w:rsidP="00FE37D6">
      <w:pPr>
        <w:rPr>
          <w:rFonts w:ascii="Arial" w:hAnsi="Arial" w:cs="Arial"/>
        </w:rPr>
      </w:pPr>
    </w:p>
    <w:p w:rsidR="00FE37D6" w:rsidRPr="00E719C8" w:rsidRDefault="00FE37D6" w:rsidP="00FE37D6">
      <w:pPr>
        <w:rPr>
          <w:rFonts w:ascii="Arial" w:hAnsi="Arial" w:cs="Arial"/>
        </w:rPr>
      </w:pPr>
    </w:p>
    <w:p w:rsidR="00534CE9" w:rsidRDefault="00534CE9" w:rsidP="00FE37D6">
      <w:pPr>
        <w:rPr>
          <w:rFonts w:ascii="Arial" w:hAnsi="Arial" w:cs="Arial"/>
        </w:rPr>
      </w:pPr>
    </w:p>
    <w:p w:rsidR="00534CE9" w:rsidRDefault="00534CE9" w:rsidP="00FE37D6">
      <w:pPr>
        <w:rPr>
          <w:rFonts w:ascii="Arial" w:hAnsi="Arial" w:cs="Arial"/>
        </w:rPr>
      </w:pPr>
    </w:p>
    <w:p w:rsidR="00534CE9" w:rsidRDefault="00534CE9" w:rsidP="00FE37D6">
      <w:pPr>
        <w:rPr>
          <w:rFonts w:ascii="Arial" w:hAnsi="Arial" w:cs="Arial"/>
        </w:rPr>
      </w:pPr>
    </w:p>
    <w:p w:rsidR="00534CE9" w:rsidRDefault="00534CE9" w:rsidP="00FE37D6">
      <w:pPr>
        <w:rPr>
          <w:rFonts w:ascii="Arial" w:hAnsi="Arial" w:cs="Arial"/>
        </w:rPr>
      </w:pPr>
    </w:p>
    <w:p w:rsidR="00534CE9" w:rsidRDefault="00534CE9" w:rsidP="00FE37D6">
      <w:pPr>
        <w:rPr>
          <w:rFonts w:ascii="Arial" w:hAnsi="Arial" w:cs="Arial"/>
        </w:rPr>
      </w:pPr>
    </w:p>
    <w:p w:rsidR="00FE37D6" w:rsidRPr="00E719C8" w:rsidRDefault="00BA1207" w:rsidP="000317D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May 22</w:t>
      </w:r>
      <w:r w:rsidR="00927143">
        <w:rPr>
          <w:rFonts w:ascii="Arial" w:hAnsi="Arial" w:cs="Arial"/>
        </w:rPr>
        <w:t>, 2013</w:t>
      </w:r>
    </w:p>
    <w:p w:rsidR="00FE37D6" w:rsidRPr="00E719C8" w:rsidRDefault="00FE37D6" w:rsidP="00FE37D6">
      <w:pPr>
        <w:rPr>
          <w:rFonts w:ascii="Arial" w:hAnsi="Arial" w:cs="Arial"/>
        </w:rPr>
      </w:pPr>
    </w:p>
    <w:p w:rsidR="00FE37D6" w:rsidRPr="00E719C8" w:rsidRDefault="00FE37D6" w:rsidP="00FE37D6">
      <w:pPr>
        <w:rPr>
          <w:rFonts w:ascii="Arial" w:hAnsi="Arial" w:cs="Arial"/>
        </w:rPr>
      </w:pPr>
    </w:p>
    <w:p w:rsidR="00AA1B92" w:rsidRDefault="00AA1B92" w:rsidP="00AA1B92">
      <w:pPr>
        <w:tabs>
          <w:tab w:val="left" w:pos="720"/>
          <w:tab w:val="left" w:pos="5400"/>
          <w:tab w:val="right" w:pos="9360"/>
        </w:tabs>
      </w:pPr>
    </w:p>
    <w:p w:rsidR="008B4248" w:rsidRDefault="008B4248" w:rsidP="008B4248">
      <w:pPr>
        <w:tabs>
          <w:tab w:val="left" w:pos="720"/>
          <w:tab w:val="left" w:pos="5400"/>
          <w:tab w:val="right" w:pos="9360"/>
        </w:tabs>
        <w:rPr>
          <w:sz w:val="22"/>
          <w:szCs w:val="22"/>
        </w:rPr>
      </w:pPr>
    </w:p>
    <w:p w:rsidR="008B4248" w:rsidRDefault="00304494" w:rsidP="008B4248">
      <w:pPr>
        <w:tabs>
          <w:tab w:val="left" w:pos="720"/>
          <w:tab w:val="left" w:pos="5400"/>
          <w:tab w:val="right" w:pos="9360"/>
        </w:tabs>
        <w:rPr>
          <w:rFonts w:ascii="Arial" w:hAnsi="Arial" w:cs="Arial"/>
        </w:rPr>
      </w:pPr>
      <w:r>
        <w:rPr>
          <w:rFonts w:ascii="Arial" w:hAnsi="Arial" w:cs="Arial"/>
        </w:rPr>
        <w:t>General Counsel</w:t>
      </w:r>
    </w:p>
    <w:p w:rsidR="00AF3493" w:rsidRDefault="00304494" w:rsidP="008B4248">
      <w:pPr>
        <w:tabs>
          <w:tab w:val="left" w:pos="720"/>
          <w:tab w:val="left" w:pos="5400"/>
          <w:tab w:val="right" w:pos="9360"/>
        </w:tabs>
        <w:rPr>
          <w:rFonts w:ascii="Arial" w:hAnsi="Arial" w:cs="Arial"/>
        </w:rPr>
      </w:pPr>
      <w:r>
        <w:rPr>
          <w:rFonts w:ascii="Arial" w:hAnsi="Arial" w:cs="Arial"/>
        </w:rPr>
        <w:t>Dakota Gasification Company</w:t>
      </w:r>
    </w:p>
    <w:p w:rsidR="005517AA" w:rsidRDefault="00304494" w:rsidP="008B4248">
      <w:pPr>
        <w:tabs>
          <w:tab w:val="left" w:pos="720"/>
          <w:tab w:val="left" w:pos="5400"/>
          <w:tab w:val="right" w:pos="9360"/>
        </w:tabs>
        <w:rPr>
          <w:rFonts w:ascii="Arial" w:hAnsi="Arial" w:cs="Arial"/>
        </w:rPr>
      </w:pPr>
      <w:r>
        <w:rPr>
          <w:rFonts w:ascii="Arial" w:hAnsi="Arial" w:cs="Arial"/>
        </w:rPr>
        <w:t>PO Box 5540</w:t>
      </w:r>
    </w:p>
    <w:p w:rsidR="00AF3493" w:rsidRDefault="00BA1207" w:rsidP="008B4248">
      <w:pPr>
        <w:tabs>
          <w:tab w:val="left" w:pos="720"/>
          <w:tab w:val="left" w:pos="5400"/>
          <w:tab w:val="right" w:pos="9360"/>
        </w:tabs>
        <w:rPr>
          <w:sz w:val="22"/>
          <w:szCs w:val="22"/>
        </w:rPr>
      </w:pPr>
      <w:r>
        <w:rPr>
          <w:rFonts w:ascii="Arial" w:hAnsi="Arial" w:cs="Arial"/>
        </w:rPr>
        <w:t xml:space="preserve">Bismarck ND  </w:t>
      </w:r>
      <w:r w:rsidR="00304494" w:rsidRPr="00304494">
        <w:rPr>
          <w:rFonts w:ascii="Arial" w:hAnsi="Arial" w:cs="Arial"/>
        </w:rPr>
        <w:t>58506</w:t>
      </w:r>
    </w:p>
    <w:p w:rsidR="00FE37D6" w:rsidRPr="00E719C8" w:rsidRDefault="00FE37D6" w:rsidP="00FE37D6">
      <w:pPr>
        <w:rPr>
          <w:rFonts w:ascii="Arial" w:hAnsi="Arial" w:cs="Arial"/>
        </w:rPr>
      </w:pPr>
    </w:p>
    <w:p w:rsidR="00FE37D6" w:rsidRDefault="00FE37D6" w:rsidP="00FE37D6">
      <w:pPr>
        <w:rPr>
          <w:rFonts w:ascii="Arial" w:hAnsi="Arial" w:cs="Arial"/>
        </w:rPr>
      </w:pPr>
      <w:r w:rsidRPr="00E719C8">
        <w:rPr>
          <w:rFonts w:ascii="Arial" w:hAnsi="Arial" w:cs="Arial"/>
        </w:rPr>
        <w:t>RE:</w:t>
      </w:r>
      <w:r w:rsidRPr="00E719C8">
        <w:rPr>
          <w:rFonts w:ascii="Arial" w:hAnsi="Arial" w:cs="Arial"/>
        </w:rPr>
        <w:tab/>
        <w:t>Case No. PU-</w:t>
      </w:r>
      <w:r w:rsidR="00304494">
        <w:rPr>
          <w:rFonts w:ascii="Arial" w:hAnsi="Arial" w:cs="Arial"/>
        </w:rPr>
        <w:t>07-184</w:t>
      </w:r>
    </w:p>
    <w:p w:rsidR="00D911E5" w:rsidRDefault="00D911E5" w:rsidP="00FE37D6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04494">
        <w:rPr>
          <w:rFonts w:ascii="Arial" w:hAnsi="Arial" w:cs="Arial"/>
        </w:rPr>
        <w:t>Dakota Gasification Company</w:t>
      </w:r>
    </w:p>
    <w:p w:rsidR="00D911E5" w:rsidRPr="00E719C8" w:rsidRDefault="00D911E5" w:rsidP="00FE37D6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04494">
        <w:rPr>
          <w:rFonts w:ascii="Arial" w:hAnsi="Arial" w:cs="Arial"/>
        </w:rPr>
        <w:t>CO2 Pipeline</w:t>
      </w:r>
    </w:p>
    <w:p w:rsidR="00FE37D6" w:rsidRPr="00E719C8" w:rsidRDefault="00AA1B92" w:rsidP="00FE37D6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A1207">
        <w:rPr>
          <w:rFonts w:ascii="Arial" w:hAnsi="Arial" w:cs="Arial"/>
        </w:rPr>
        <w:t xml:space="preserve">Siting </w:t>
      </w:r>
      <w:r w:rsidR="00712BF0">
        <w:rPr>
          <w:rFonts w:ascii="Arial" w:hAnsi="Arial" w:cs="Arial"/>
        </w:rPr>
        <w:t>Application</w:t>
      </w:r>
    </w:p>
    <w:p w:rsidR="00FE37D6" w:rsidRPr="00E719C8" w:rsidRDefault="00FE37D6" w:rsidP="00FE37D6">
      <w:pPr>
        <w:rPr>
          <w:rFonts w:ascii="Arial" w:hAnsi="Arial" w:cs="Arial"/>
        </w:rPr>
      </w:pPr>
    </w:p>
    <w:p w:rsidR="00FE37D6" w:rsidRPr="00E719C8" w:rsidRDefault="00FE37D6" w:rsidP="00AA1B92">
      <w:pPr>
        <w:jc w:val="both"/>
        <w:rPr>
          <w:rFonts w:ascii="Arial" w:hAnsi="Arial" w:cs="Arial"/>
        </w:rPr>
      </w:pPr>
      <w:r w:rsidRPr="00E719C8">
        <w:rPr>
          <w:rFonts w:ascii="Arial" w:hAnsi="Arial" w:cs="Arial"/>
        </w:rPr>
        <w:t>Enclosed</w:t>
      </w:r>
      <w:r w:rsidR="00327077">
        <w:rPr>
          <w:rFonts w:ascii="Arial" w:hAnsi="Arial" w:cs="Arial"/>
        </w:rPr>
        <w:t xml:space="preserve"> is a</w:t>
      </w:r>
      <w:r w:rsidR="00936B61">
        <w:rPr>
          <w:rFonts w:ascii="Arial" w:hAnsi="Arial" w:cs="Arial"/>
        </w:rPr>
        <w:t xml:space="preserve"> siting</w:t>
      </w:r>
      <w:r w:rsidR="00327077">
        <w:rPr>
          <w:rFonts w:ascii="Arial" w:hAnsi="Arial" w:cs="Arial"/>
        </w:rPr>
        <w:t xml:space="preserve"> application fee refund approved at the </w:t>
      </w:r>
      <w:r w:rsidR="00936B61">
        <w:rPr>
          <w:rFonts w:ascii="Arial" w:hAnsi="Arial" w:cs="Arial"/>
        </w:rPr>
        <w:t>May 22</w:t>
      </w:r>
      <w:r w:rsidR="00927143">
        <w:rPr>
          <w:rFonts w:ascii="Arial" w:hAnsi="Arial" w:cs="Arial"/>
        </w:rPr>
        <w:t>, 2013</w:t>
      </w:r>
      <w:r w:rsidR="00327077">
        <w:rPr>
          <w:rFonts w:ascii="Arial" w:hAnsi="Arial" w:cs="Arial"/>
        </w:rPr>
        <w:t xml:space="preserve"> Public Service Commission meeting in the amount of</w:t>
      </w:r>
      <w:r w:rsidR="002B2C5A">
        <w:rPr>
          <w:rFonts w:ascii="Arial" w:hAnsi="Arial" w:cs="Arial"/>
        </w:rPr>
        <w:t xml:space="preserve"> $</w:t>
      </w:r>
      <w:r w:rsidR="00304494">
        <w:rPr>
          <w:rFonts w:ascii="Arial" w:hAnsi="Arial" w:cs="Arial"/>
        </w:rPr>
        <w:t>14.64</w:t>
      </w:r>
      <w:r w:rsidR="0062222A">
        <w:rPr>
          <w:rFonts w:ascii="Arial" w:hAnsi="Arial" w:cs="Arial"/>
        </w:rPr>
        <w:t xml:space="preserve"> for</w:t>
      </w:r>
      <w:r w:rsidR="00304494">
        <w:rPr>
          <w:rFonts w:ascii="Arial" w:hAnsi="Arial" w:cs="Arial"/>
        </w:rPr>
        <w:t xml:space="preserve"> Case No. </w:t>
      </w:r>
      <w:proofErr w:type="gramStart"/>
      <w:r w:rsidR="00304494">
        <w:rPr>
          <w:rFonts w:ascii="Arial" w:hAnsi="Arial" w:cs="Arial"/>
        </w:rPr>
        <w:t>PU-07-184</w:t>
      </w:r>
      <w:r w:rsidR="00327077">
        <w:rPr>
          <w:rFonts w:ascii="Arial" w:hAnsi="Arial" w:cs="Arial"/>
        </w:rPr>
        <w:t>.</w:t>
      </w:r>
      <w:proofErr w:type="gramEnd"/>
      <w:r w:rsidRPr="00E719C8">
        <w:rPr>
          <w:rFonts w:ascii="Arial" w:hAnsi="Arial" w:cs="Arial"/>
        </w:rPr>
        <w:t xml:space="preserve"> </w:t>
      </w:r>
    </w:p>
    <w:p w:rsidR="00FE37D6" w:rsidRPr="00E719C8" w:rsidRDefault="00FE37D6" w:rsidP="00AA1B92">
      <w:pPr>
        <w:jc w:val="both"/>
        <w:rPr>
          <w:rFonts w:ascii="Arial" w:hAnsi="Arial" w:cs="Arial"/>
        </w:rPr>
      </w:pPr>
    </w:p>
    <w:p w:rsidR="00FE37D6" w:rsidRPr="00E719C8" w:rsidRDefault="00FE37D6" w:rsidP="00AA1B92">
      <w:pPr>
        <w:jc w:val="both"/>
        <w:rPr>
          <w:rFonts w:ascii="Arial" w:hAnsi="Arial" w:cs="Arial"/>
        </w:rPr>
      </w:pPr>
      <w:r w:rsidRPr="00E719C8">
        <w:rPr>
          <w:rFonts w:ascii="Arial" w:hAnsi="Arial" w:cs="Arial"/>
        </w:rPr>
        <w:t xml:space="preserve">This check represents </w:t>
      </w:r>
      <w:r w:rsidR="00AA1B92">
        <w:rPr>
          <w:rFonts w:ascii="Arial" w:hAnsi="Arial" w:cs="Arial"/>
        </w:rPr>
        <w:t xml:space="preserve">a </w:t>
      </w:r>
      <w:r w:rsidRPr="00E719C8">
        <w:rPr>
          <w:rFonts w:ascii="Arial" w:hAnsi="Arial" w:cs="Arial"/>
        </w:rPr>
        <w:t xml:space="preserve">refund of the portion of the application fee paid in the above case, less expenditures.  An accounting showing original fees paid in </w:t>
      </w:r>
      <w:r w:rsidR="00AA1B92">
        <w:rPr>
          <w:rFonts w:ascii="Arial" w:hAnsi="Arial" w:cs="Arial"/>
        </w:rPr>
        <w:t xml:space="preserve">the </w:t>
      </w:r>
      <w:r w:rsidRPr="00E719C8">
        <w:rPr>
          <w:rFonts w:ascii="Arial" w:hAnsi="Arial" w:cs="Arial"/>
        </w:rPr>
        <w:t>case, expenditures deducted</w:t>
      </w:r>
      <w:r w:rsidR="00AA1B92">
        <w:rPr>
          <w:rFonts w:ascii="Arial" w:hAnsi="Arial" w:cs="Arial"/>
        </w:rPr>
        <w:t xml:space="preserve">, and </w:t>
      </w:r>
      <w:r w:rsidRPr="00E719C8">
        <w:rPr>
          <w:rFonts w:ascii="Arial" w:hAnsi="Arial" w:cs="Arial"/>
        </w:rPr>
        <w:t>amount remaining is attached.</w:t>
      </w:r>
    </w:p>
    <w:p w:rsidR="00FE37D6" w:rsidRPr="00E719C8" w:rsidRDefault="00FE37D6" w:rsidP="00AA1B92">
      <w:pPr>
        <w:jc w:val="both"/>
        <w:rPr>
          <w:rFonts w:ascii="Arial" w:hAnsi="Arial" w:cs="Arial"/>
        </w:rPr>
      </w:pPr>
    </w:p>
    <w:p w:rsidR="00FE37D6" w:rsidRPr="00E719C8" w:rsidRDefault="00FE37D6" w:rsidP="00AA1B92">
      <w:pPr>
        <w:jc w:val="both"/>
        <w:rPr>
          <w:rFonts w:ascii="Arial" w:hAnsi="Arial" w:cs="Arial"/>
        </w:rPr>
      </w:pPr>
      <w:r w:rsidRPr="00E719C8">
        <w:rPr>
          <w:rFonts w:ascii="Arial" w:hAnsi="Arial" w:cs="Arial"/>
        </w:rPr>
        <w:t>If you have any questions</w:t>
      </w:r>
      <w:r w:rsidR="006D2661">
        <w:rPr>
          <w:rFonts w:ascii="Arial" w:hAnsi="Arial" w:cs="Arial"/>
        </w:rPr>
        <w:t xml:space="preserve"> regarding the fee process, the </w:t>
      </w:r>
      <w:proofErr w:type="gramStart"/>
      <w:r w:rsidR="00192984">
        <w:rPr>
          <w:rFonts w:ascii="Arial" w:hAnsi="Arial" w:cs="Arial"/>
        </w:rPr>
        <w:t xml:space="preserve">refund, </w:t>
      </w:r>
      <w:r w:rsidR="00094909">
        <w:rPr>
          <w:rFonts w:ascii="Arial" w:hAnsi="Arial" w:cs="Arial"/>
        </w:rPr>
        <w:t xml:space="preserve">or </w:t>
      </w:r>
      <w:r w:rsidR="00FF2EDD">
        <w:rPr>
          <w:rFonts w:ascii="Arial" w:hAnsi="Arial" w:cs="Arial"/>
        </w:rPr>
        <w:t>the expenditures, please contact</w:t>
      </w:r>
      <w:proofErr w:type="gramEnd"/>
      <w:r w:rsidRPr="00E719C8">
        <w:rPr>
          <w:rFonts w:ascii="Arial" w:hAnsi="Arial" w:cs="Arial"/>
        </w:rPr>
        <w:t xml:space="preserve"> me at 701-328-</w:t>
      </w:r>
      <w:r w:rsidR="00192984">
        <w:rPr>
          <w:rFonts w:ascii="Arial" w:hAnsi="Arial" w:cs="Arial"/>
        </w:rPr>
        <w:t>4076</w:t>
      </w:r>
      <w:r w:rsidR="004F79E9">
        <w:rPr>
          <w:rFonts w:ascii="Arial" w:hAnsi="Arial" w:cs="Arial"/>
        </w:rPr>
        <w:t>.</w:t>
      </w:r>
    </w:p>
    <w:p w:rsidR="005252DF" w:rsidRDefault="005252DF" w:rsidP="005252D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FE37D6" w:rsidRPr="00E719C8" w:rsidRDefault="005252DF" w:rsidP="005252D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E37D6" w:rsidRPr="00E719C8">
        <w:rPr>
          <w:rFonts w:ascii="Arial" w:hAnsi="Arial" w:cs="Arial"/>
        </w:rPr>
        <w:t>Sincerely</w:t>
      </w:r>
      <w:r w:rsidR="00AA1B92">
        <w:rPr>
          <w:rFonts w:ascii="Arial" w:hAnsi="Arial" w:cs="Arial"/>
        </w:rPr>
        <w:t>,</w:t>
      </w:r>
    </w:p>
    <w:p w:rsidR="00FE37D6" w:rsidRPr="00E719C8" w:rsidRDefault="00FE37D6" w:rsidP="005252DF">
      <w:pPr>
        <w:jc w:val="center"/>
        <w:rPr>
          <w:rFonts w:ascii="Arial" w:hAnsi="Arial" w:cs="Arial"/>
        </w:rPr>
      </w:pPr>
    </w:p>
    <w:p w:rsidR="00FE37D6" w:rsidRPr="00E719C8" w:rsidRDefault="00FE37D6" w:rsidP="005252DF">
      <w:pPr>
        <w:jc w:val="center"/>
        <w:rPr>
          <w:rFonts w:ascii="Arial" w:hAnsi="Arial" w:cs="Arial"/>
        </w:rPr>
      </w:pPr>
    </w:p>
    <w:p w:rsidR="00534CE9" w:rsidRDefault="00534CE9" w:rsidP="005252DF">
      <w:pPr>
        <w:jc w:val="center"/>
        <w:rPr>
          <w:rFonts w:ascii="Arial" w:hAnsi="Arial" w:cs="Arial"/>
        </w:rPr>
      </w:pPr>
    </w:p>
    <w:p w:rsidR="00FE37D6" w:rsidRDefault="005252DF" w:rsidP="005252D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92984">
        <w:rPr>
          <w:rFonts w:ascii="Arial" w:hAnsi="Arial" w:cs="Arial"/>
        </w:rPr>
        <w:t>Cara DeSaye</w:t>
      </w:r>
    </w:p>
    <w:p w:rsidR="008F6507" w:rsidRDefault="005252DF" w:rsidP="005252D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92984">
        <w:rPr>
          <w:rFonts w:ascii="Arial" w:hAnsi="Arial" w:cs="Arial"/>
        </w:rPr>
        <w:t>Public Utilities Division</w:t>
      </w:r>
    </w:p>
    <w:p w:rsidR="0098479A" w:rsidRDefault="0098479A" w:rsidP="005252DF">
      <w:pPr>
        <w:jc w:val="center"/>
        <w:rPr>
          <w:rFonts w:ascii="Arial" w:hAnsi="Arial" w:cs="Arial"/>
        </w:rPr>
      </w:pPr>
    </w:p>
    <w:p w:rsidR="0098479A" w:rsidRDefault="0098479A" w:rsidP="00FE37D6">
      <w:pPr>
        <w:rPr>
          <w:rFonts w:ascii="Arial" w:hAnsi="Arial" w:cs="Arial"/>
        </w:rPr>
      </w:pPr>
    </w:p>
    <w:p w:rsidR="0098479A" w:rsidRDefault="001C16D0" w:rsidP="00FE37D6">
      <w:pPr>
        <w:rPr>
          <w:rFonts w:ascii="Arial" w:hAnsi="Arial" w:cs="Arial"/>
        </w:rPr>
      </w:pPr>
      <w:r>
        <w:rPr>
          <w:rFonts w:ascii="Arial" w:hAnsi="Arial" w:cs="Arial"/>
        </w:rPr>
        <w:t>Enclosure</w:t>
      </w:r>
    </w:p>
    <w:p w:rsidR="00FE37D6" w:rsidRPr="00E719C8" w:rsidRDefault="008F6507" w:rsidP="00FE37D6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FE37D6" w:rsidRPr="00E719C8" w:rsidRDefault="00FE37D6" w:rsidP="00FE37D6">
      <w:pPr>
        <w:rPr>
          <w:rFonts w:ascii="Arial" w:hAnsi="Arial" w:cs="Arial"/>
        </w:rPr>
      </w:pPr>
    </w:p>
    <w:p w:rsidR="000A07D6" w:rsidRDefault="000A07D6" w:rsidP="00534CE9">
      <w:pPr>
        <w:rPr>
          <w:rFonts w:ascii="Arial" w:hAnsi="Arial" w:cs="Arial"/>
          <w:b/>
        </w:rPr>
      </w:pPr>
    </w:p>
    <w:p w:rsidR="000A07D6" w:rsidRPr="005A2933" w:rsidRDefault="000A07D6" w:rsidP="000A07D6">
      <w:pPr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REFUND</w:t>
      </w:r>
    </w:p>
    <w:p w:rsidR="000A07D6" w:rsidRPr="005A2933" w:rsidRDefault="000A07D6" w:rsidP="000A07D6">
      <w:pPr>
        <w:jc w:val="center"/>
        <w:rPr>
          <w:rFonts w:ascii="Arial" w:hAnsi="Arial" w:cs="Arial"/>
          <w:b/>
        </w:rPr>
      </w:pPr>
    </w:p>
    <w:p w:rsidR="000A07D6" w:rsidRPr="001841A7" w:rsidRDefault="00936B61" w:rsidP="000A07D6">
      <w:pPr>
        <w:tabs>
          <w:tab w:val="left" w:pos="480"/>
          <w:tab w:val="left" w:pos="7380"/>
        </w:tabs>
        <w:spacing w:line="240" w:lineRule="exact"/>
        <w:ind w:right="-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May 22</w:t>
      </w:r>
      <w:r w:rsidR="00927143">
        <w:rPr>
          <w:rFonts w:ascii="Arial" w:hAnsi="Arial" w:cs="Arial"/>
          <w:b/>
        </w:rPr>
        <w:t>, 2013</w:t>
      </w:r>
    </w:p>
    <w:p w:rsidR="000A07D6" w:rsidRPr="005A2933" w:rsidRDefault="000A07D6" w:rsidP="000A07D6">
      <w:pPr>
        <w:rPr>
          <w:rFonts w:ascii="Arial" w:hAnsi="Arial" w:cs="Arial"/>
          <w:b/>
        </w:rPr>
      </w:pPr>
    </w:p>
    <w:p w:rsidR="000A07D6" w:rsidRPr="005A2933" w:rsidRDefault="000A07D6" w:rsidP="000A07D6">
      <w:pPr>
        <w:rPr>
          <w:rFonts w:ascii="Arial" w:hAnsi="Arial" w:cs="Arial"/>
          <w:b/>
        </w:rPr>
      </w:pPr>
    </w:p>
    <w:tbl>
      <w:tblPr>
        <w:tblW w:w="9588" w:type="dxa"/>
        <w:tblLayout w:type="fixed"/>
        <w:tblLook w:val="0000" w:firstRow="0" w:lastRow="0" w:firstColumn="0" w:lastColumn="0" w:noHBand="0" w:noVBand="0"/>
      </w:tblPr>
      <w:tblGrid>
        <w:gridCol w:w="6318"/>
        <w:gridCol w:w="3270"/>
      </w:tblGrid>
      <w:tr w:rsidR="006F0AE5" w:rsidRPr="007D5D38" w:rsidTr="0062222A">
        <w:tc>
          <w:tcPr>
            <w:tcW w:w="6318" w:type="dxa"/>
          </w:tcPr>
          <w:p w:rsidR="009B7D4F" w:rsidRDefault="00304494" w:rsidP="00065A09">
            <w:pPr>
              <w:spacing w:line="24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Dakota Gasification Company</w:t>
            </w:r>
          </w:p>
          <w:p w:rsidR="00AF3493" w:rsidRDefault="00304494" w:rsidP="00065A09">
            <w:pPr>
              <w:spacing w:line="24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CO2 Pipeline</w:t>
            </w:r>
          </w:p>
          <w:p w:rsidR="00AF3493" w:rsidRPr="007D5D38" w:rsidRDefault="00936B61" w:rsidP="00065A09">
            <w:pPr>
              <w:spacing w:line="24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Siting </w:t>
            </w:r>
            <w:r w:rsidR="00192984">
              <w:rPr>
                <w:rFonts w:ascii="Arial" w:hAnsi="Arial" w:cs="Arial"/>
                <w:b/>
              </w:rPr>
              <w:t>Application</w:t>
            </w:r>
          </w:p>
        </w:tc>
        <w:tc>
          <w:tcPr>
            <w:tcW w:w="3270" w:type="dxa"/>
          </w:tcPr>
          <w:p w:rsidR="006F0AE5" w:rsidRPr="007D5D38" w:rsidRDefault="006F0AE5" w:rsidP="005252DF">
            <w:pPr>
              <w:spacing w:line="240" w:lineRule="atLeast"/>
              <w:ind w:left="-348"/>
              <w:jc w:val="right"/>
              <w:rPr>
                <w:rFonts w:ascii="Arial" w:hAnsi="Arial" w:cs="Arial"/>
                <w:b/>
              </w:rPr>
            </w:pPr>
            <w:r w:rsidRPr="007D5D38">
              <w:rPr>
                <w:rFonts w:ascii="Arial" w:hAnsi="Arial" w:cs="Arial"/>
                <w:b/>
              </w:rPr>
              <w:t>Case No. PU-</w:t>
            </w:r>
            <w:r w:rsidR="00B91192">
              <w:rPr>
                <w:rFonts w:ascii="Arial" w:hAnsi="Arial" w:cs="Arial"/>
                <w:b/>
              </w:rPr>
              <w:t>0</w:t>
            </w:r>
            <w:r w:rsidR="00936B61">
              <w:rPr>
                <w:rFonts w:ascii="Arial" w:hAnsi="Arial" w:cs="Arial"/>
                <w:b/>
              </w:rPr>
              <w:t>7-</w:t>
            </w:r>
            <w:r w:rsidR="00304494">
              <w:rPr>
                <w:rFonts w:ascii="Arial" w:hAnsi="Arial" w:cs="Arial"/>
                <w:b/>
              </w:rPr>
              <w:t>184</w:t>
            </w:r>
          </w:p>
        </w:tc>
      </w:tr>
    </w:tbl>
    <w:p w:rsidR="000A07D6" w:rsidRDefault="000A07D6" w:rsidP="000A07D6">
      <w:pPr>
        <w:tabs>
          <w:tab w:val="left" w:pos="5220"/>
        </w:tabs>
        <w:rPr>
          <w:rFonts w:ascii="Arial" w:hAnsi="Arial" w:cs="Arial"/>
          <w:b/>
        </w:rPr>
      </w:pPr>
    </w:p>
    <w:p w:rsidR="00313A36" w:rsidRDefault="00313A36" w:rsidP="000A07D6">
      <w:pPr>
        <w:tabs>
          <w:tab w:val="left" w:pos="5220"/>
        </w:tabs>
        <w:rPr>
          <w:rFonts w:ascii="Arial" w:hAnsi="Arial" w:cs="Arial"/>
          <w:b/>
        </w:rPr>
      </w:pPr>
    </w:p>
    <w:p w:rsidR="004F79E9" w:rsidRPr="00330F19" w:rsidRDefault="004F79E9" w:rsidP="000A07D6">
      <w:pPr>
        <w:tabs>
          <w:tab w:val="left" w:pos="5220"/>
        </w:tabs>
        <w:rPr>
          <w:rFonts w:ascii="Arial" w:hAnsi="Arial" w:cs="Arial"/>
          <w:b/>
        </w:rPr>
      </w:pPr>
    </w:p>
    <w:tbl>
      <w:tblPr>
        <w:tblW w:w="0" w:type="auto"/>
        <w:tblInd w:w="18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950"/>
        <w:gridCol w:w="2700"/>
      </w:tblGrid>
      <w:tr w:rsidR="00313A36" w:rsidTr="006D197F">
        <w:tc>
          <w:tcPr>
            <w:tcW w:w="4950" w:type="dxa"/>
          </w:tcPr>
          <w:p w:rsidR="00313A36" w:rsidRPr="006D197F" w:rsidRDefault="005252DF" w:rsidP="006D197F">
            <w:pPr>
              <w:tabs>
                <w:tab w:val="left" w:pos="522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Utility Valuation Application </w:t>
            </w:r>
            <w:r w:rsidR="00313A36" w:rsidRPr="006D197F">
              <w:rPr>
                <w:rFonts w:ascii="Arial" w:hAnsi="Arial" w:cs="Arial"/>
                <w:b/>
              </w:rPr>
              <w:t>Fee Collected:</w:t>
            </w:r>
          </w:p>
        </w:tc>
        <w:tc>
          <w:tcPr>
            <w:tcW w:w="2700" w:type="dxa"/>
          </w:tcPr>
          <w:p w:rsidR="00313A36" w:rsidRPr="006D197F" w:rsidRDefault="004F79E9" w:rsidP="005252DF">
            <w:pPr>
              <w:tabs>
                <w:tab w:val="left" w:pos="5220"/>
              </w:tabs>
              <w:jc w:val="right"/>
              <w:rPr>
                <w:rFonts w:ascii="Arial" w:hAnsi="Arial" w:cs="Arial"/>
                <w:b/>
              </w:rPr>
            </w:pPr>
            <w:r w:rsidRPr="006D197F">
              <w:rPr>
                <w:rFonts w:ascii="Arial" w:hAnsi="Arial" w:cs="Arial"/>
                <w:b/>
              </w:rPr>
              <w:t>$</w:t>
            </w:r>
            <w:r w:rsidR="00304494">
              <w:rPr>
                <w:rFonts w:ascii="Arial" w:hAnsi="Arial" w:cs="Arial"/>
                <w:b/>
              </w:rPr>
              <w:t>52,500</w:t>
            </w:r>
          </w:p>
        </w:tc>
      </w:tr>
      <w:tr w:rsidR="00313A36" w:rsidTr="006D197F">
        <w:tc>
          <w:tcPr>
            <w:tcW w:w="4950" w:type="dxa"/>
          </w:tcPr>
          <w:p w:rsidR="00313A36" w:rsidRPr="006D197F" w:rsidRDefault="00313A36" w:rsidP="006D197F">
            <w:pPr>
              <w:tabs>
                <w:tab w:val="left" w:pos="522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700" w:type="dxa"/>
          </w:tcPr>
          <w:p w:rsidR="00313A36" w:rsidRPr="006D197F" w:rsidRDefault="00313A36" w:rsidP="006D197F">
            <w:pPr>
              <w:tabs>
                <w:tab w:val="left" w:pos="5220"/>
              </w:tabs>
              <w:jc w:val="right"/>
              <w:rPr>
                <w:rFonts w:ascii="Arial" w:hAnsi="Arial" w:cs="Arial"/>
                <w:b/>
              </w:rPr>
            </w:pPr>
          </w:p>
        </w:tc>
      </w:tr>
      <w:tr w:rsidR="00313A36" w:rsidTr="006D197F">
        <w:tc>
          <w:tcPr>
            <w:tcW w:w="4950" w:type="dxa"/>
          </w:tcPr>
          <w:p w:rsidR="00313A36" w:rsidRPr="006D197F" w:rsidRDefault="00313A36" w:rsidP="006D197F">
            <w:pPr>
              <w:tabs>
                <w:tab w:val="left" w:pos="5220"/>
              </w:tabs>
              <w:rPr>
                <w:rFonts w:ascii="Arial" w:hAnsi="Arial" w:cs="Arial"/>
                <w:b/>
              </w:rPr>
            </w:pPr>
            <w:r w:rsidRPr="006D197F">
              <w:rPr>
                <w:rFonts w:ascii="Arial" w:hAnsi="Arial" w:cs="Arial"/>
                <w:b/>
              </w:rPr>
              <w:t>Expenses Incurred to Date:</w:t>
            </w:r>
          </w:p>
        </w:tc>
        <w:tc>
          <w:tcPr>
            <w:tcW w:w="2700" w:type="dxa"/>
          </w:tcPr>
          <w:p w:rsidR="00313A36" w:rsidRPr="006D197F" w:rsidRDefault="00313A36" w:rsidP="006D197F">
            <w:pPr>
              <w:tabs>
                <w:tab w:val="left" w:pos="5220"/>
              </w:tabs>
              <w:jc w:val="right"/>
              <w:rPr>
                <w:rFonts w:ascii="Arial" w:hAnsi="Arial" w:cs="Arial"/>
                <w:b/>
              </w:rPr>
            </w:pPr>
          </w:p>
        </w:tc>
      </w:tr>
      <w:tr w:rsidR="00406DF8" w:rsidRPr="008F6507" w:rsidTr="006D197F">
        <w:tc>
          <w:tcPr>
            <w:tcW w:w="4950" w:type="dxa"/>
          </w:tcPr>
          <w:p w:rsidR="00406DF8" w:rsidRDefault="00DD31E4" w:rsidP="006D197F">
            <w:pPr>
              <w:tabs>
                <w:tab w:val="left" w:pos="5220"/>
              </w:tabs>
              <w:rPr>
                <w:rFonts w:ascii="Arial" w:hAnsi="Arial" w:cs="Arial"/>
              </w:rPr>
            </w:pPr>
            <w:r w:rsidRPr="006D197F">
              <w:rPr>
                <w:rFonts w:ascii="Arial" w:hAnsi="Arial" w:cs="Arial"/>
              </w:rPr>
              <w:t>Advertising Services</w:t>
            </w:r>
          </w:p>
          <w:p w:rsidR="00936B61" w:rsidRDefault="00936B61" w:rsidP="006D197F">
            <w:pPr>
              <w:tabs>
                <w:tab w:val="left" w:pos="52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Engineers</w:t>
            </w:r>
          </w:p>
          <w:p w:rsidR="006D50BC" w:rsidRDefault="00304494" w:rsidP="006D197F">
            <w:pPr>
              <w:tabs>
                <w:tab w:val="left" w:pos="52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Meals Taxable</w:t>
            </w:r>
          </w:p>
          <w:p w:rsidR="006D50BC" w:rsidRDefault="00936B61" w:rsidP="006D197F">
            <w:pPr>
              <w:tabs>
                <w:tab w:val="left" w:pos="52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</w:t>
            </w:r>
            <w:r w:rsidR="00C528CE">
              <w:rPr>
                <w:rFonts w:ascii="Arial" w:hAnsi="Arial" w:cs="Arial"/>
              </w:rPr>
              <w:t>gineering Consultants</w:t>
            </w:r>
          </w:p>
          <w:p w:rsidR="00304494" w:rsidRDefault="00304494" w:rsidP="006D197F">
            <w:pPr>
              <w:tabs>
                <w:tab w:val="left" w:pos="52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Motor/Aircraft Pool</w:t>
            </w:r>
          </w:p>
          <w:p w:rsidR="00304494" w:rsidRDefault="00304494" w:rsidP="006D197F">
            <w:pPr>
              <w:tabs>
                <w:tab w:val="left" w:pos="52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Booth &amp; Room Rental</w:t>
            </w:r>
          </w:p>
          <w:p w:rsidR="006D50BC" w:rsidRPr="006D197F" w:rsidRDefault="006D50BC" w:rsidP="006D197F">
            <w:pPr>
              <w:tabs>
                <w:tab w:val="left" w:pos="5220"/>
              </w:tabs>
              <w:rPr>
                <w:rFonts w:ascii="Arial" w:hAnsi="Arial" w:cs="Arial"/>
              </w:rPr>
            </w:pPr>
          </w:p>
        </w:tc>
        <w:tc>
          <w:tcPr>
            <w:tcW w:w="2700" w:type="dxa"/>
          </w:tcPr>
          <w:p w:rsidR="00406DF8" w:rsidRDefault="00936B61" w:rsidP="00304494">
            <w:pPr>
              <w:tabs>
                <w:tab w:val="right" w:pos="248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</w:t>
            </w:r>
            <w:r w:rsidR="00304494">
              <w:rPr>
                <w:rFonts w:ascii="Arial" w:hAnsi="Arial" w:cs="Arial"/>
              </w:rPr>
              <w:tab/>
              <w:t>151.40</w:t>
            </w:r>
          </w:p>
          <w:p w:rsidR="00936B61" w:rsidRDefault="00304494" w:rsidP="006D197F">
            <w:pPr>
              <w:tabs>
                <w:tab w:val="left" w:pos="522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443.14</w:t>
            </w:r>
          </w:p>
          <w:p w:rsidR="006D50BC" w:rsidRDefault="00304494" w:rsidP="006D197F">
            <w:pPr>
              <w:tabs>
                <w:tab w:val="left" w:pos="522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30.00</w:t>
            </w:r>
          </w:p>
          <w:p w:rsidR="006D50BC" w:rsidRDefault="00304494" w:rsidP="006D197F">
            <w:pPr>
              <w:tabs>
                <w:tab w:val="left" w:pos="522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4,542.22</w:t>
            </w:r>
          </w:p>
          <w:p w:rsidR="00304494" w:rsidRDefault="00304494" w:rsidP="006D197F">
            <w:pPr>
              <w:tabs>
                <w:tab w:val="left" w:pos="522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157.08</w:t>
            </w:r>
          </w:p>
          <w:p w:rsidR="00304494" w:rsidRDefault="00304494" w:rsidP="006D197F">
            <w:pPr>
              <w:tabs>
                <w:tab w:val="left" w:pos="522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20.00</w:t>
            </w:r>
          </w:p>
          <w:p w:rsidR="006D50BC" w:rsidRPr="006D197F" w:rsidRDefault="006D50BC" w:rsidP="00927143">
            <w:pPr>
              <w:tabs>
                <w:tab w:val="left" w:pos="5220"/>
              </w:tabs>
              <w:jc w:val="center"/>
              <w:rPr>
                <w:rFonts w:ascii="Arial" w:hAnsi="Arial" w:cs="Arial"/>
              </w:rPr>
            </w:pPr>
          </w:p>
        </w:tc>
      </w:tr>
      <w:tr w:rsidR="005517AA" w:rsidRPr="008F6507" w:rsidTr="006D197F">
        <w:tc>
          <w:tcPr>
            <w:tcW w:w="4950" w:type="dxa"/>
          </w:tcPr>
          <w:p w:rsidR="005517AA" w:rsidRPr="006D197F" w:rsidRDefault="005517AA" w:rsidP="006D197F">
            <w:pPr>
              <w:tabs>
                <w:tab w:val="left" w:pos="5220"/>
              </w:tabs>
              <w:rPr>
                <w:rFonts w:ascii="Arial" w:hAnsi="Arial" w:cs="Arial"/>
              </w:rPr>
            </w:pPr>
          </w:p>
        </w:tc>
        <w:tc>
          <w:tcPr>
            <w:tcW w:w="2700" w:type="dxa"/>
          </w:tcPr>
          <w:p w:rsidR="005517AA" w:rsidRDefault="005517AA" w:rsidP="00927143">
            <w:pPr>
              <w:tabs>
                <w:tab w:val="left" w:pos="5220"/>
              </w:tabs>
              <w:rPr>
                <w:rFonts w:ascii="Arial" w:hAnsi="Arial" w:cs="Arial"/>
              </w:rPr>
            </w:pPr>
          </w:p>
        </w:tc>
      </w:tr>
      <w:tr w:rsidR="00313A36" w:rsidTr="006D197F">
        <w:tc>
          <w:tcPr>
            <w:tcW w:w="4950" w:type="dxa"/>
          </w:tcPr>
          <w:p w:rsidR="00313A36" w:rsidRPr="006D197F" w:rsidRDefault="00313A36" w:rsidP="006D197F">
            <w:pPr>
              <w:tabs>
                <w:tab w:val="left" w:pos="522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700" w:type="dxa"/>
            <w:tcBorders>
              <w:top w:val="single" w:sz="4" w:space="0" w:color="auto"/>
            </w:tcBorders>
          </w:tcPr>
          <w:p w:rsidR="00C528CE" w:rsidRDefault="00304494" w:rsidP="00C528CE">
            <w:pPr>
              <w:tabs>
                <w:tab w:val="left" w:pos="5220"/>
              </w:tabs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5,343.84</w:t>
            </w:r>
          </w:p>
          <w:p w:rsidR="00C528CE" w:rsidRPr="006D197F" w:rsidRDefault="00C528CE" w:rsidP="00C528CE">
            <w:pPr>
              <w:tabs>
                <w:tab w:val="left" w:pos="5220"/>
              </w:tabs>
              <w:rPr>
                <w:rFonts w:ascii="Arial" w:hAnsi="Arial" w:cs="Arial"/>
                <w:b/>
              </w:rPr>
            </w:pPr>
          </w:p>
        </w:tc>
      </w:tr>
      <w:tr w:rsidR="008F6507" w:rsidTr="006D197F">
        <w:tc>
          <w:tcPr>
            <w:tcW w:w="4950" w:type="dxa"/>
          </w:tcPr>
          <w:p w:rsidR="008F6507" w:rsidRPr="006D197F" w:rsidRDefault="008F6507" w:rsidP="006D197F">
            <w:pPr>
              <w:tabs>
                <w:tab w:val="left" w:pos="522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700" w:type="dxa"/>
          </w:tcPr>
          <w:p w:rsidR="008F6507" w:rsidRPr="006D197F" w:rsidRDefault="008F6507" w:rsidP="006D197F">
            <w:pPr>
              <w:tabs>
                <w:tab w:val="left" w:pos="5220"/>
              </w:tabs>
              <w:jc w:val="right"/>
              <w:rPr>
                <w:rFonts w:ascii="Arial" w:hAnsi="Arial" w:cs="Arial"/>
                <w:b/>
              </w:rPr>
            </w:pPr>
          </w:p>
        </w:tc>
      </w:tr>
      <w:tr w:rsidR="00313A36" w:rsidTr="006D197F">
        <w:tc>
          <w:tcPr>
            <w:tcW w:w="4950" w:type="dxa"/>
          </w:tcPr>
          <w:p w:rsidR="00C528CE" w:rsidRDefault="00C528CE" w:rsidP="006D197F">
            <w:pPr>
              <w:tabs>
                <w:tab w:val="left" w:pos="5220"/>
              </w:tabs>
              <w:rPr>
                <w:rFonts w:ascii="Arial" w:hAnsi="Arial" w:cs="Arial"/>
                <w:b/>
              </w:rPr>
            </w:pPr>
          </w:p>
          <w:p w:rsidR="00C528CE" w:rsidRPr="00C528CE" w:rsidRDefault="00C528CE" w:rsidP="006D197F">
            <w:pPr>
              <w:tabs>
                <w:tab w:val="left" w:pos="5220"/>
              </w:tabs>
              <w:rPr>
                <w:rFonts w:ascii="Arial" w:hAnsi="Arial" w:cs="Arial"/>
              </w:rPr>
            </w:pPr>
            <w:r w:rsidRPr="00C528CE">
              <w:rPr>
                <w:rFonts w:ascii="Arial" w:hAnsi="Arial" w:cs="Arial"/>
              </w:rPr>
              <w:t xml:space="preserve">Siting Interim Refund </w:t>
            </w:r>
            <w:r w:rsidR="00304494">
              <w:rPr>
                <w:rFonts w:ascii="Arial" w:hAnsi="Arial" w:cs="Arial"/>
              </w:rPr>
              <w:t>June 4</w:t>
            </w:r>
            <w:r w:rsidRPr="00C528CE">
              <w:rPr>
                <w:rFonts w:ascii="Arial" w:hAnsi="Arial" w:cs="Arial"/>
              </w:rPr>
              <w:t>, 2008</w:t>
            </w:r>
          </w:p>
          <w:p w:rsidR="00C528CE" w:rsidRDefault="00C528CE" w:rsidP="006D197F">
            <w:pPr>
              <w:tabs>
                <w:tab w:val="left" w:pos="5220"/>
              </w:tabs>
              <w:rPr>
                <w:rFonts w:ascii="Arial" w:hAnsi="Arial" w:cs="Arial"/>
                <w:b/>
              </w:rPr>
            </w:pPr>
          </w:p>
          <w:p w:rsidR="00C528CE" w:rsidRDefault="00C528CE" w:rsidP="006D197F">
            <w:pPr>
              <w:tabs>
                <w:tab w:val="left" w:pos="5220"/>
              </w:tabs>
              <w:rPr>
                <w:rFonts w:ascii="Arial" w:hAnsi="Arial" w:cs="Arial"/>
                <w:b/>
              </w:rPr>
            </w:pPr>
          </w:p>
          <w:p w:rsidR="00313A36" w:rsidRPr="006D197F" w:rsidRDefault="00313A36" w:rsidP="006D197F">
            <w:pPr>
              <w:tabs>
                <w:tab w:val="left" w:pos="5220"/>
              </w:tabs>
              <w:rPr>
                <w:rFonts w:ascii="Arial" w:hAnsi="Arial" w:cs="Arial"/>
                <w:b/>
              </w:rPr>
            </w:pPr>
            <w:r w:rsidRPr="006D197F">
              <w:rPr>
                <w:rFonts w:ascii="Arial" w:hAnsi="Arial" w:cs="Arial"/>
                <w:b/>
              </w:rPr>
              <w:t>Refund</w:t>
            </w:r>
          </w:p>
        </w:tc>
        <w:tc>
          <w:tcPr>
            <w:tcW w:w="2700" w:type="dxa"/>
          </w:tcPr>
          <w:p w:rsidR="00C528CE" w:rsidRDefault="00C528CE" w:rsidP="005252DF">
            <w:pPr>
              <w:tabs>
                <w:tab w:val="left" w:pos="5220"/>
              </w:tabs>
              <w:jc w:val="right"/>
              <w:rPr>
                <w:rFonts w:ascii="Arial" w:hAnsi="Arial" w:cs="Arial"/>
                <w:b/>
              </w:rPr>
            </w:pPr>
          </w:p>
          <w:p w:rsidR="00C528CE" w:rsidRDefault="00304494" w:rsidP="005252DF">
            <w:pPr>
              <w:tabs>
                <w:tab w:val="left" w:pos="5220"/>
              </w:tabs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47,141.52</w:t>
            </w:r>
          </w:p>
          <w:p w:rsidR="00C528CE" w:rsidRDefault="00C528CE" w:rsidP="005252DF">
            <w:pPr>
              <w:tabs>
                <w:tab w:val="left" w:pos="5220"/>
              </w:tabs>
              <w:jc w:val="right"/>
              <w:rPr>
                <w:rFonts w:ascii="Arial" w:hAnsi="Arial" w:cs="Arial"/>
                <w:b/>
              </w:rPr>
            </w:pPr>
          </w:p>
          <w:p w:rsidR="00C528CE" w:rsidRDefault="00C528CE" w:rsidP="005252DF">
            <w:pPr>
              <w:tabs>
                <w:tab w:val="left" w:pos="5220"/>
              </w:tabs>
              <w:jc w:val="right"/>
              <w:rPr>
                <w:rFonts w:ascii="Arial" w:hAnsi="Arial" w:cs="Arial"/>
                <w:b/>
              </w:rPr>
            </w:pPr>
          </w:p>
          <w:p w:rsidR="00FF5266" w:rsidRPr="006D197F" w:rsidRDefault="004F79E9" w:rsidP="005252DF">
            <w:pPr>
              <w:tabs>
                <w:tab w:val="left" w:pos="5220"/>
              </w:tabs>
              <w:jc w:val="right"/>
              <w:rPr>
                <w:rFonts w:ascii="Arial" w:hAnsi="Arial" w:cs="Arial"/>
                <w:b/>
              </w:rPr>
            </w:pPr>
            <w:r w:rsidRPr="006D197F">
              <w:rPr>
                <w:rFonts w:ascii="Arial" w:hAnsi="Arial" w:cs="Arial"/>
                <w:b/>
              </w:rPr>
              <w:t>$</w:t>
            </w:r>
            <w:r w:rsidR="00304494">
              <w:rPr>
                <w:rFonts w:ascii="Arial" w:hAnsi="Arial" w:cs="Arial"/>
                <w:b/>
              </w:rPr>
              <w:t>14.64</w:t>
            </w:r>
          </w:p>
        </w:tc>
      </w:tr>
    </w:tbl>
    <w:p w:rsidR="000A07D6" w:rsidRDefault="000A07D6" w:rsidP="008F6507">
      <w:pPr>
        <w:tabs>
          <w:tab w:val="left" w:pos="5220"/>
        </w:tabs>
        <w:rPr>
          <w:rFonts w:ascii="Arial" w:hAnsi="Arial" w:cs="Arial"/>
          <w:b/>
        </w:rPr>
      </w:pPr>
      <w:bookmarkStart w:id="0" w:name="_GoBack"/>
      <w:bookmarkEnd w:id="0"/>
    </w:p>
    <w:sectPr w:rsidR="000A07D6" w:rsidSect="00DF4297">
      <w:pgSz w:w="12240" w:h="15840" w:code="1"/>
      <w:pgMar w:top="1440" w:right="1800" w:bottom="1440" w:left="1800" w:header="720" w:footer="720" w:gutter="0"/>
      <w:paperSrc w:first="3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7D6"/>
    <w:rsid w:val="00006901"/>
    <w:rsid w:val="00007005"/>
    <w:rsid w:val="000130D3"/>
    <w:rsid w:val="00017433"/>
    <w:rsid w:val="000317DE"/>
    <w:rsid w:val="000429FC"/>
    <w:rsid w:val="00045DAF"/>
    <w:rsid w:val="00056DF4"/>
    <w:rsid w:val="00062916"/>
    <w:rsid w:val="00065A09"/>
    <w:rsid w:val="000677EF"/>
    <w:rsid w:val="00075D2C"/>
    <w:rsid w:val="000779BA"/>
    <w:rsid w:val="000816AF"/>
    <w:rsid w:val="00086F3B"/>
    <w:rsid w:val="0008775C"/>
    <w:rsid w:val="00094909"/>
    <w:rsid w:val="000961FA"/>
    <w:rsid w:val="000A07D6"/>
    <w:rsid w:val="000B3EAC"/>
    <w:rsid w:val="000B6207"/>
    <w:rsid w:val="000C05F7"/>
    <w:rsid w:val="000C4F5F"/>
    <w:rsid w:val="000D5D77"/>
    <w:rsid w:val="000E4FB6"/>
    <w:rsid w:val="000E52CF"/>
    <w:rsid w:val="000E681B"/>
    <w:rsid w:val="000E6C11"/>
    <w:rsid w:val="001044AB"/>
    <w:rsid w:val="00104B94"/>
    <w:rsid w:val="00106DB8"/>
    <w:rsid w:val="00110630"/>
    <w:rsid w:val="001147DD"/>
    <w:rsid w:val="0012777E"/>
    <w:rsid w:val="00132CC8"/>
    <w:rsid w:val="0013557A"/>
    <w:rsid w:val="00136114"/>
    <w:rsid w:val="001426E7"/>
    <w:rsid w:val="00142813"/>
    <w:rsid w:val="0014409F"/>
    <w:rsid w:val="00147DD0"/>
    <w:rsid w:val="001564A3"/>
    <w:rsid w:val="00164CFC"/>
    <w:rsid w:val="001655EA"/>
    <w:rsid w:val="0017337D"/>
    <w:rsid w:val="001749E1"/>
    <w:rsid w:val="00177968"/>
    <w:rsid w:val="00192984"/>
    <w:rsid w:val="001954A6"/>
    <w:rsid w:val="001A0AC7"/>
    <w:rsid w:val="001B0B21"/>
    <w:rsid w:val="001B5A05"/>
    <w:rsid w:val="001B7F43"/>
    <w:rsid w:val="001C13E1"/>
    <w:rsid w:val="001C16D0"/>
    <w:rsid w:val="001C77A5"/>
    <w:rsid w:val="001D2FCD"/>
    <w:rsid w:val="001E21A8"/>
    <w:rsid w:val="001F2217"/>
    <w:rsid w:val="001F38B7"/>
    <w:rsid w:val="00226D28"/>
    <w:rsid w:val="00230770"/>
    <w:rsid w:val="00232729"/>
    <w:rsid w:val="00232EC8"/>
    <w:rsid w:val="00233073"/>
    <w:rsid w:val="00244363"/>
    <w:rsid w:val="002448FB"/>
    <w:rsid w:val="00273040"/>
    <w:rsid w:val="00297BEF"/>
    <w:rsid w:val="002A0500"/>
    <w:rsid w:val="002A4E23"/>
    <w:rsid w:val="002A591E"/>
    <w:rsid w:val="002B2C5A"/>
    <w:rsid w:val="002B5865"/>
    <w:rsid w:val="002D26D8"/>
    <w:rsid w:val="002D4133"/>
    <w:rsid w:val="002D7697"/>
    <w:rsid w:val="002E2B28"/>
    <w:rsid w:val="002E5C64"/>
    <w:rsid w:val="002E7CA6"/>
    <w:rsid w:val="00300F8D"/>
    <w:rsid w:val="00304494"/>
    <w:rsid w:val="00313A36"/>
    <w:rsid w:val="00314B1F"/>
    <w:rsid w:val="003156E4"/>
    <w:rsid w:val="003179C6"/>
    <w:rsid w:val="00317BBA"/>
    <w:rsid w:val="00317C72"/>
    <w:rsid w:val="00327077"/>
    <w:rsid w:val="00337DEA"/>
    <w:rsid w:val="003514BF"/>
    <w:rsid w:val="00354F97"/>
    <w:rsid w:val="00363E57"/>
    <w:rsid w:val="00373328"/>
    <w:rsid w:val="00386501"/>
    <w:rsid w:val="00394137"/>
    <w:rsid w:val="003A36ED"/>
    <w:rsid w:val="003B2D83"/>
    <w:rsid w:val="003B35B4"/>
    <w:rsid w:val="003C1158"/>
    <w:rsid w:val="003C61BF"/>
    <w:rsid w:val="003D2561"/>
    <w:rsid w:val="003E1A1F"/>
    <w:rsid w:val="003E2070"/>
    <w:rsid w:val="003F73CD"/>
    <w:rsid w:val="00403251"/>
    <w:rsid w:val="004045A2"/>
    <w:rsid w:val="00404E4F"/>
    <w:rsid w:val="00406DF8"/>
    <w:rsid w:val="00411875"/>
    <w:rsid w:val="00414993"/>
    <w:rsid w:val="00420810"/>
    <w:rsid w:val="00420D8A"/>
    <w:rsid w:val="00422511"/>
    <w:rsid w:val="00441B24"/>
    <w:rsid w:val="00441CAD"/>
    <w:rsid w:val="00442FDB"/>
    <w:rsid w:val="00444324"/>
    <w:rsid w:val="00445383"/>
    <w:rsid w:val="0045200C"/>
    <w:rsid w:val="00452C23"/>
    <w:rsid w:val="00461BD4"/>
    <w:rsid w:val="00471703"/>
    <w:rsid w:val="00474064"/>
    <w:rsid w:val="004745F3"/>
    <w:rsid w:val="00474B57"/>
    <w:rsid w:val="004A62C5"/>
    <w:rsid w:val="004B5A20"/>
    <w:rsid w:val="004B7ACB"/>
    <w:rsid w:val="004C0CDF"/>
    <w:rsid w:val="004C183D"/>
    <w:rsid w:val="004D0C39"/>
    <w:rsid w:val="004D5E29"/>
    <w:rsid w:val="004E6BA2"/>
    <w:rsid w:val="004F6213"/>
    <w:rsid w:val="004F79E9"/>
    <w:rsid w:val="0050105A"/>
    <w:rsid w:val="00503056"/>
    <w:rsid w:val="00504E4F"/>
    <w:rsid w:val="0050515F"/>
    <w:rsid w:val="005079EE"/>
    <w:rsid w:val="00513099"/>
    <w:rsid w:val="00513E1D"/>
    <w:rsid w:val="005152A9"/>
    <w:rsid w:val="005213C1"/>
    <w:rsid w:val="00522AD5"/>
    <w:rsid w:val="005252DF"/>
    <w:rsid w:val="0053415D"/>
    <w:rsid w:val="00534434"/>
    <w:rsid w:val="00534CE9"/>
    <w:rsid w:val="00540423"/>
    <w:rsid w:val="005517AA"/>
    <w:rsid w:val="00551905"/>
    <w:rsid w:val="00553AC1"/>
    <w:rsid w:val="00553D2A"/>
    <w:rsid w:val="00555DF8"/>
    <w:rsid w:val="00562BC6"/>
    <w:rsid w:val="005708EB"/>
    <w:rsid w:val="005721C5"/>
    <w:rsid w:val="005727C2"/>
    <w:rsid w:val="00585150"/>
    <w:rsid w:val="00591131"/>
    <w:rsid w:val="00594456"/>
    <w:rsid w:val="005A41BC"/>
    <w:rsid w:val="005B73DB"/>
    <w:rsid w:val="005C1317"/>
    <w:rsid w:val="005C7A84"/>
    <w:rsid w:val="005D4C88"/>
    <w:rsid w:val="005E15A4"/>
    <w:rsid w:val="005E7074"/>
    <w:rsid w:val="00604D96"/>
    <w:rsid w:val="0061236A"/>
    <w:rsid w:val="00616B3C"/>
    <w:rsid w:val="0062222A"/>
    <w:rsid w:val="00631DC9"/>
    <w:rsid w:val="00636027"/>
    <w:rsid w:val="00640947"/>
    <w:rsid w:val="00642FFA"/>
    <w:rsid w:val="00645CDA"/>
    <w:rsid w:val="00651693"/>
    <w:rsid w:val="00656A22"/>
    <w:rsid w:val="00662760"/>
    <w:rsid w:val="00663440"/>
    <w:rsid w:val="00663FF1"/>
    <w:rsid w:val="006727FA"/>
    <w:rsid w:val="00672E3B"/>
    <w:rsid w:val="006753A8"/>
    <w:rsid w:val="00682ED4"/>
    <w:rsid w:val="00696F6C"/>
    <w:rsid w:val="006A016A"/>
    <w:rsid w:val="006A389B"/>
    <w:rsid w:val="006B6CA0"/>
    <w:rsid w:val="006C238F"/>
    <w:rsid w:val="006C28C7"/>
    <w:rsid w:val="006C7051"/>
    <w:rsid w:val="006C7355"/>
    <w:rsid w:val="006D16D7"/>
    <w:rsid w:val="006D197F"/>
    <w:rsid w:val="006D2661"/>
    <w:rsid w:val="006D4009"/>
    <w:rsid w:val="006D50BC"/>
    <w:rsid w:val="006D70A3"/>
    <w:rsid w:val="006E1C59"/>
    <w:rsid w:val="006E664B"/>
    <w:rsid w:val="006F0AE5"/>
    <w:rsid w:val="006F76DB"/>
    <w:rsid w:val="006F7B01"/>
    <w:rsid w:val="00712BF0"/>
    <w:rsid w:val="0071375F"/>
    <w:rsid w:val="0071568D"/>
    <w:rsid w:val="00715F97"/>
    <w:rsid w:val="00717650"/>
    <w:rsid w:val="00726511"/>
    <w:rsid w:val="00727E0E"/>
    <w:rsid w:val="00733C65"/>
    <w:rsid w:val="00745890"/>
    <w:rsid w:val="007670B3"/>
    <w:rsid w:val="007679BB"/>
    <w:rsid w:val="007700EC"/>
    <w:rsid w:val="00777CC7"/>
    <w:rsid w:val="00791FBE"/>
    <w:rsid w:val="007A4BBF"/>
    <w:rsid w:val="007B419E"/>
    <w:rsid w:val="007C09AF"/>
    <w:rsid w:val="007D0770"/>
    <w:rsid w:val="007D4EDD"/>
    <w:rsid w:val="007E35F2"/>
    <w:rsid w:val="008044E9"/>
    <w:rsid w:val="00806DA6"/>
    <w:rsid w:val="008079A3"/>
    <w:rsid w:val="00812058"/>
    <w:rsid w:val="008230E8"/>
    <w:rsid w:val="008252C9"/>
    <w:rsid w:val="00830520"/>
    <w:rsid w:val="0083798D"/>
    <w:rsid w:val="008417E9"/>
    <w:rsid w:val="00841822"/>
    <w:rsid w:val="00842B33"/>
    <w:rsid w:val="00850680"/>
    <w:rsid w:val="008641BF"/>
    <w:rsid w:val="00866008"/>
    <w:rsid w:val="00870BB0"/>
    <w:rsid w:val="0087700B"/>
    <w:rsid w:val="00887267"/>
    <w:rsid w:val="00896036"/>
    <w:rsid w:val="008A47C6"/>
    <w:rsid w:val="008A718E"/>
    <w:rsid w:val="008B2A3D"/>
    <w:rsid w:val="008B4248"/>
    <w:rsid w:val="008B48E9"/>
    <w:rsid w:val="008B5004"/>
    <w:rsid w:val="008C2869"/>
    <w:rsid w:val="008C495F"/>
    <w:rsid w:val="008C556B"/>
    <w:rsid w:val="008D7EB2"/>
    <w:rsid w:val="008E3F01"/>
    <w:rsid w:val="008F0CB4"/>
    <w:rsid w:val="008F3A23"/>
    <w:rsid w:val="008F6507"/>
    <w:rsid w:val="00900B8C"/>
    <w:rsid w:val="00901624"/>
    <w:rsid w:val="00902E1C"/>
    <w:rsid w:val="00906BF0"/>
    <w:rsid w:val="009110C9"/>
    <w:rsid w:val="00916C8A"/>
    <w:rsid w:val="00925007"/>
    <w:rsid w:val="009257D0"/>
    <w:rsid w:val="00927143"/>
    <w:rsid w:val="00935647"/>
    <w:rsid w:val="009365F5"/>
    <w:rsid w:val="00936B61"/>
    <w:rsid w:val="009602F3"/>
    <w:rsid w:val="0096275C"/>
    <w:rsid w:val="00963E9A"/>
    <w:rsid w:val="00965ED5"/>
    <w:rsid w:val="009673F0"/>
    <w:rsid w:val="009730D2"/>
    <w:rsid w:val="009772BE"/>
    <w:rsid w:val="0098414A"/>
    <w:rsid w:val="0098479A"/>
    <w:rsid w:val="0098549E"/>
    <w:rsid w:val="00985B3B"/>
    <w:rsid w:val="009903B2"/>
    <w:rsid w:val="009A0E46"/>
    <w:rsid w:val="009A696F"/>
    <w:rsid w:val="009B7D4F"/>
    <w:rsid w:val="009C1B22"/>
    <w:rsid w:val="009C4C02"/>
    <w:rsid w:val="009D0163"/>
    <w:rsid w:val="009D626C"/>
    <w:rsid w:val="009E032C"/>
    <w:rsid w:val="009E160B"/>
    <w:rsid w:val="00A0176E"/>
    <w:rsid w:val="00A116CF"/>
    <w:rsid w:val="00A133E4"/>
    <w:rsid w:val="00A14741"/>
    <w:rsid w:val="00A15FF9"/>
    <w:rsid w:val="00A171C7"/>
    <w:rsid w:val="00A32DE7"/>
    <w:rsid w:val="00A62E46"/>
    <w:rsid w:val="00A668D9"/>
    <w:rsid w:val="00A75C2F"/>
    <w:rsid w:val="00A81681"/>
    <w:rsid w:val="00A82F93"/>
    <w:rsid w:val="00A85272"/>
    <w:rsid w:val="00A87274"/>
    <w:rsid w:val="00A904D0"/>
    <w:rsid w:val="00A947BE"/>
    <w:rsid w:val="00AA15A1"/>
    <w:rsid w:val="00AA1B92"/>
    <w:rsid w:val="00AB00AA"/>
    <w:rsid w:val="00AB0F42"/>
    <w:rsid w:val="00AB1ABF"/>
    <w:rsid w:val="00AB1DE0"/>
    <w:rsid w:val="00AB3BE8"/>
    <w:rsid w:val="00AC0D75"/>
    <w:rsid w:val="00AC148B"/>
    <w:rsid w:val="00AD0DCF"/>
    <w:rsid w:val="00AD57E5"/>
    <w:rsid w:val="00AD7EC6"/>
    <w:rsid w:val="00AE55B3"/>
    <w:rsid w:val="00AF3493"/>
    <w:rsid w:val="00AF39A5"/>
    <w:rsid w:val="00B04C96"/>
    <w:rsid w:val="00B051BA"/>
    <w:rsid w:val="00B25032"/>
    <w:rsid w:val="00B26DD4"/>
    <w:rsid w:val="00B27D24"/>
    <w:rsid w:val="00B43467"/>
    <w:rsid w:val="00B5158E"/>
    <w:rsid w:val="00B5305B"/>
    <w:rsid w:val="00B71F88"/>
    <w:rsid w:val="00B76999"/>
    <w:rsid w:val="00B81874"/>
    <w:rsid w:val="00B90744"/>
    <w:rsid w:val="00B91192"/>
    <w:rsid w:val="00B94FA7"/>
    <w:rsid w:val="00B96EC4"/>
    <w:rsid w:val="00B97AAF"/>
    <w:rsid w:val="00BA08A2"/>
    <w:rsid w:val="00BA1207"/>
    <w:rsid w:val="00BA2A98"/>
    <w:rsid w:val="00BB2A41"/>
    <w:rsid w:val="00BC7F4E"/>
    <w:rsid w:val="00BE17EB"/>
    <w:rsid w:val="00BE52FE"/>
    <w:rsid w:val="00C223C7"/>
    <w:rsid w:val="00C3043C"/>
    <w:rsid w:val="00C3085B"/>
    <w:rsid w:val="00C312B1"/>
    <w:rsid w:val="00C41DD7"/>
    <w:rsid w:val="00C42B61"/>
    <w:rsid w:val="00C50BC0"/>
    <w:rsid w:val="00C528CE"/>
    <w:rsid w:val="00C60031"/>
    <w:rsid w:val="00C61EB4"/>
    <w:rsid w:val="00C64FB0"/>
    <w:rsid w:val="00C65374"/>
    <w:rsid w:val="00C836B7"/>
    <w:rsid w:val="00C85725"/>
    <w:rsid w:val="00C94125"/>
    <w:rsid w:val="00C977A0"/>
    <w:rsid w:val="00CA17C7"/>
    <w:rsid w:val="00CA6625"/>
    <w:rsid w:val="00CB542E"/>
    <w:rsid w:val="00CC186E"/>
    <w:rsid w:val="00CE22E6"/>
    <w:rsid w:val="00CE3CEC"/>
    <w:rsid w:val="00CF178E"/>
    <w:rsid w:val="00CF4F58"/>
    <w:rsid w:val="00CF60BD"/>
    <w:rsid w:val="00D0097C"/>
    <w:rsid w:val="00D03089"/>
    <w:rsid w:val="00D04C5A"/>
    <w:rsid w:val="00D0756A"/>
    <w:rsid w:val="00D11D0D"/>
    <w:rsid w:val="00D12D0F"/>
    <w:rsid w:val="00D1533D"/>
    <w:rsid w:val="00D30E12"/>
    <w:rsid w:val="00D47B58"/>
    <w:rsid w:val="00D60E3B"/>
    <w:rsid w:val="00D61D47"/>
    <w:rsid w:val="00D6718C"/>
    <w:rsid w:val="00D726BC"/>
    <w:rsid w:val="00D87609"/>
    <w:rsid w:val="00D911E5"/>
    <w:rsid w:val="00D95D96"/>
    <w:rsid w:val="00DA6773"/>
    <w:rsid w:val="00DB1714"/>
    <w:rsid w:val="00DB5671"/>
    <w:rsid w:val="00DC4B04"/>
    <w:rsid w:val="00DC5043"/>
    <w:rsid w:val="00DD31E4"/>
    <w:rsid w:val="00DD65B9"/>
    <w:rsid w:val="00DE5B90"/>
    <w:rsid w:val="00DF4297"/>
    <w:rsid w:val="00DF48CC"/>
    <w:rsid w:val="00E01331"/>
    <w:rsid w:val="00E016EE"/>
    <w:rsid w:val="00E241A8"/>
    <w:rsid w:val="00E24F53"/>
    <w:rsid w:val="00E255C0"/>
    <w:rsid w:val="00E31E3D"/>
    <w:rsid w:val="00E40ABA"/>
    <w:rsid w:val="00E42EE4"/>
    <w:rsid w:val="00E45C87"/>
    <w:rsid w:val="00E5036A"/>
    <w:rsid w:val="00E61E02"/>
    <w:rsid w:val="00E672E4"/>
    <w:rsid w:val="00E7230C"/>
    <w:rsid w:val="00E72726"/>
    <w:rsid w:val="00E815D6"/>
    <w:rsid w:val="00E840E8"/>
    <w:rsid w:val="00E85DC4"/>
    <w:rsid w:val="00E9307F"/>
    <w:rsid w:val="00EA2B5E"/>
    <w:rsid w:val="00EA2CD4"/>
    <w:rsid w:val="00EC7CA5"/>
    <w:rsid w:val="00EC7DBA"/>
    <w:rsid w:val="00ED0267"/>
    <w:rsid w:val="00ED02CC"/>
    <w:rsid w:val="00ED5D29"/>
    <w:rsid w:val="00ED7376"/>
    <w:rsid w:val="00EE5577"/>
    <w:rsid w:val="00EE69BA"/>
    <w:rsid w:val="00EF19B9"/>
    <w:rsid w:val="00EF1D15"/>
    <w:rsid w:val="00EF544E"/>
    <w:rsid w:val="00EF6A09"/>
    <w:rsid w:val="00F2268E"/>
    <w:rsid w:val="00F23915"/>
    <w:rsid w:val="00F30F10"/>
    <w:rsid w:val="00F44619"/>
    <w:rsid w:val="00F511D5"/>
    <w:rsid w:val="00F64B8C"/>
    <w:rsid w:val="00F75EA8"/>
    <w:rsid w:val="00F81B2B"/>
    <w:rsid w:val="00F965C3"/>
    <w:rsid w:val="00FA281C"/>
    <w:rsid w:val="00FA7122"/>
    <w:rsid w:val="00FB278D"/>
    <w:rsid w:val="00FC155D"/>
    <w:rsid w:val="00FC1BBE"/>
    <w:rsid w:val="00FD05B1"/>
    <w:rsid w:val="00FD13C7"/>
    <w:rsid w:val="00FD639B"/>
    <w:rsid w:val="00FE0679"/>
    <w:rsid w:val="00FE1FC3"/>
    <w:rsid w:val="00FE37D6"/>
    <w:rsid w:val="00FE3D5A"/>
    <w:rsid w:val="00FF03CE"/>
    <w:rsid w:val="00FF2EDD"/>
    <w:rsid w:val="00FF5266"/>
    <w:rsid w:val="00FF5B7D"/>
    <w:rsid w:val="00FF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E37D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E37D6"/>
    <w:rPr>
      <w:color w:val="0000FF"/>
      <w:u w:val="single"/>
    </w:rPr>
  </w:style>
  <w:style w:type="table" w:styleId="TableGrid">
    <w:name w:val="Table Grid"/>
    <w:basedOn w:val="TableNormal"/>
    <w:rsid w:val="00313A3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FF5266"/>
    <w:rPr>
      <w:color w:val="808080"/>
    </w:rPr>
  </w:style>
  <w:style w:type="paragraph" w:styleId="BalloonText">
    <w:name w:val="Balloon Text"/>
    <w:basedOn w:val="Normal"/>
    <w:link w:val="BalloonTextChar"/>
    <w:rsid w:val="00FF52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F52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E37D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E37D6"/>
    <w:rPr>
      <w:color w:val="0000FF"/>
      <w:u w:val="single"/>
    </w:rPr>
  </w:style>
  <w:style w:type="table" w:styleId="TableGrid">
    <w:name w:val="Table Grid"/>
    <w:basedOn w:val="TableNormal"/>
    <w:rsid w:val="00313A3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FF5266"/>
    <w:rPr>
      <w:color w:val="808080"/>
    </w:rPr>
  </w:style>
  <w:style w:type="paragraph" w:styleId="BalloonText">
    <w:name w:val="Balloon Text"/>
    <w:basedOn w:val="Normal"/>
    <w:link w:val="BalloonTextChar"/>
    <w:rsid w:val="00FF52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F52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0CF98A-458B-46AF-8545-948CB0EB3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165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February 23, 2007</vt:lpstr>
    </vt:vector>
  </TitlesOfParts>
  <Company>State of North Dakota</Company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23, 2007</dc:title>
  <dc:creator>Public Service Commission</dc:creator>
  <cp:lastModifiedBy>Cara DeSaye</cp:lastModifiedBy>
  <cp:revision>3</cp:revision>
  <cp:lastPrinted>2010-11-29T16:35:00Z</cp:lastPrinted>
  <dcterms:created xsi:type="dcterms:W3CDTF">2013-05-15T21:03:00Z</dcterms:created>
  <dcterms:modified xsi:type="dcterms:W3CDTF">2013-05-15T21:11:00Z</dcterms:modified>
</cp:coreProperties>
</file>