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BA1207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May 22</w:t>
      </w:r>
      <w:r w:rsidR="00927143">
        <w:rPr>
          <w:rFonts w:ascii="Arial" w:hAnsi="Arial" w:cs="Arial"/>
        </w:rPr>
        <w:t>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BA1207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Brian </w:t>
      </w:r>
      <w:proofErr w:type="spellStart"/>
      <w:r>
        <w:rPr>
          <w:rFonts w:ascii="Arial" w:hAnsi="Arial" w:cs="Arial"/>
        </w:rPr>
        <w:t>Bjella</w:t>
      </w:r>
      <w:proofErr w:type="spellEnd"/>
    </w:p>
    <w:p w:rsidR="00AF3493" w:rsidRDefault="00BA1207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Crowley Fleck</w:t>
      </w:r>
    </w:p>
    <w:p w:rsidR="005517AA" w:rsidRDefault="00BA1207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PO Box 2798</w:t>
      </w:r>
    </w:p>
    <w:p w:rsidR="00AF3493" w:rsidRDefault="00BA1207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Bismarck ND  58502-2798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BA1207">
        <w:rPr>
          <w:rFonts w:ascii="Arial" w:hAnsi="Arial" w:cs="Arial"/>
        </w:rPr>
        <w:t>07-791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1207">
        <w:rPr>
          <w:rFonts w:ascii="Arial" w:hAnsi="Arial" w:cs="Arial"/>
        </w:rPr>
        <w:t>Enbridge Pipelines (North Dakota) LLC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1207">
        <w:rPr>
          <w:rFonts w:ascii="Arial" w:hAnsi="Arial" w:cs="Arial"/>
        </w:rPr>
        <w:t>Pump Station Upgrades</w:t>
      </w:r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A1207">
        <w:rPr>
          <w:rFonts w:ascii="Arial" w:hAnsi="Arial" w:cs="Arial"/>
        </w:rPr>
        <w:t xml:space="preserve">Siting </w:t>
      </w:r>
      <w:r w:rsidR="00712BF0">
        <w:rPr>
          <w:rFonts w:ascii="Arial" w:hAnsi="Arial" w:cs="Arial"/>
        </w:rPr>
        <w:t>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</w:t>
      </w:r>
      <w:proofErr w:type="spellStart"/>
      <w:r w:rsidR="00327077">
        <w:rPr>
          <w:rFonts w:ascii="Arial" w:hAnsi="Arial" w:cs="Arial"/>
        </w:rPr>
        <w:t>a</w:t>
      </w:r>
      <w:proofErr w:type="spellEnd"/>
      <w:r w:rsidR="00936B61">
        <w:rPr>
          <w:rFonts w:ascii="Arial" w:hAnsi="Arial" w:cs="Arial"/>
        </w:rPr>
        <w:t xml:space="preserve"> siting</w:t>
      </w:r>
      <w:r w:rsidR="00327077">
        <w:rPr>
          <w:rFonts w:ascii="Arial" w:hAnsi="Arial" w:cs="Arial"/>
        </w:rPr>
        <w:t xml:space="preserve"> application fee refund approved at the </w:t>
      </w:r>
      <w:r w:rsidR="00936B61">
        <w:rPr>
          <w:rFonts w:ascii="Arial" w:hAnsi="Arial" w:cs="Arial"/>
        </w:rPr>
        <w:t>May 22</w:t>
      </w:r>
      <w:r w:rsidR="00927143">
        <w:rPr>
          <w:rFonts w:ascii="Arial" w:hAnsi="Arial" w:cs="Arial"/>
        </w:rPr>
        <w:t>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936B61">
        <w:rPr>
          <w:rFonts w:ascii="Arial" w:hAnsi="Arial" w:cs="Arial"/>
        </w:rPr>
        <w:t>7.27</w:t>
      </w:r>
      <w:r w:rsidR="0062222A">
        <w:rPr>
          <w:rFonts w:ascii="Arial" w:hAnsi="Arial" w:cs="Arial"/>
        </w:rPr>
        <w:t xml:space="preserve"> for</w:t>
      </w:r>
      <w:r w:rsidR="00936B61">
        <w:rPr>
          <w:rFonts w:ascii="Arial" w:hAnsi="Arial" w:cs="Arial"/>
        </w:rPr>
        <w:t xml:space="preserve"> Case No. </w:t>
      </w:r>
      <w:proofErr w:type="gramStart"/>
      <w:r w:rsidR="00936B61">
        <w:rPr>
          <w:rFonts w:ascii="Arial" w:hAnsi="Arial" w:cs="Arial"/>
        </w:rPr>
        <w:t>PU-07-791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 xml:space="preserve">refund of the portion of the application fee paid in the above case, less expenditures.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192984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936B61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May 22</w:t>
      </w:r>
      <w:r w:rsidR="00927143">
        <w:rPr>
          <w:rFonts w:ascii="Arial" w:hAnsi="Arial" w:cs="Arial"/>
          <w:b/>
        </w:rPr>
        <w:t>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936B61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Enbridge Pipelines (North Dakota) LLC</w:t>
            </w:r>
          </w:p>
          <w:p w:rsidR="00AF3493" w:rsidRDefault="00936B61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Pump Station Upgrades</w:t>
            </w:r>
            <w:r w:rsidR="00B91192">
              <w:rPr>
                <w:rFonts w:ascii="Arial" w:hAnsi="Arial" w:cs="Arial"/>
                <w:b/>
              </w:rPr>
              <w:t xml:space="preserve"> </w:t>
            </w:r>
          </w:p>
          <w:p w:rsidR="00AF3493" w:rsidRPr="007D5D38" w:rsidRDefault="00936B61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Siting </w:t>
            </w:r>
            <w:r w:rsidR="00192984">
              <w:rPr>
                <w:rFonts w:ascii="Arial" w:hAnsi="Arial" w:cs="Arial"/>
                <w:b/>
              </w:rPr>
              <w:t>Application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B91192">
              <w:rPr>
                <w:rFonts w:ascii="Arial" w:hAnsi="Arial" w:cs="Arial"/>
                <w:b/>
              </w:rPr>
              <w:t>0</w:t>
            </w:r>
            <w:r w:rsidR="00936B61">
              <w:rPr>
                <w:rFonts w:ascii="Arial" w:hAnsi="Arial" w:cs="Arial"/>
                <w:b/>
              </w:rPr>
              <w:t>7-791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5252DF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Utility Valuation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936B61">
              <w:rPr>
                <w:rFonts w:ascii="Arial" w:hAnsi="Arial" w:cs="Arial"/>
                <w:b/>
              </w:rPr>
              <w:t>00,000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406DF8" w:rsidRDefault="00DD31E4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  <w:p w:rsidR="00936B61" w:rsidRDefault="00936B61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Engineers</w:t>
            </w:r>
          </w:p>
          <w:p w:rsidR="006D50BC" w:rsidRDefault="00927143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Legal-Administrative Hearing</w:t>
            </w:r>
          </w:p>
          <w:p w:rsidR="006D50BC" w:rsidRDefault="00936B61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</w:t>
            </w:r>
            <w:r w:rsidR="00C528CE">
              <w:rPr>
                <w:rFonts w:ascii="Arial" w:hAnsi="Arial" w:cs="Arial"/>
              </w:rPr>
              <w:t>gineering Consultants</w:t>
            </w:r>
          </w:p>
          <w:p w:rsidR="006D50BC" w:rsidRPr="006D197F" w:rsidRDefault="006D50BC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406DF8" w:rsidRDefault="00936B61" w:rsidP="00936B61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4,748.98</w:t>
            </w:r>
          </w:p>
          <w:p w:rsidR="00936B61" w:rsidRDefault="00936B61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1,595.30</w:t>
            </w:r>
          </w:p>
          <w:p w:rsidR="006D50BC" w:rsidRDefault="00936B61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130.61</w:t>
            </w:r>
          </w:p>
          <w:p w:rsidR="006D50BC" w:rsidRDefault="00C528CE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3,397.43</w:t>
            </w:r>
          </w:p>
          <w:p w:rsidR="006D50BC" w:rsidRPr="006D197F" w:rsidRDefault="006D50BC" w:rsidP="00927143">
            <w:pPr>
              <w:tabs>
                <w:tab w:val="left" w:pos="5220"/>
              </w:tabs>
              <w:jc w:val="center"/>
              <w:rPr>
                <w:rFonts w:ascii="Arial" w:hAnsi="Arial" w:cs="Arial"/>
              </w:rPr>
            </w:pP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C528CE" w:rsidRDefault="00C528CE" w:rsidP="00C528CE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9,872.32</w:t>
            </w:r>
          </w:p>
          <w:p w:rsidR="00C528CE" w:rsidRPr="006D197F" w:rsidRDefault="00C528CE" w:rsidP="00C528CE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  <w:p w:rsidR="00C528CE" w:rsidRP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C528CE">
              <w:rPr>
                <w:rFonts w:ascii="Arial" w:hAnsi="Arial" w:cs="Arial"/>
              </w:rPr>
              <w:t>Siting Interim Refund Issued Dec. 17, 2008</w:t>
            </w:r>
          </w:p>
          <w:p w:rsid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  <w:p w:rsidR="00C528CE" w:rsidRDefault="00C528CE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C528CE" w:rsidRDefault="00C528CE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  <w:p w:rsidR="00C528CE" w:rsidRDefault="00C528CE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90,120.41</w:t>
            </w:r>
          </w:p>
          <w:p w:rsidR="00C528CE" w:rsidRDefault="00C528CE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  <w:p w:rsidR="00C528CE" w:rsidRDefault="00C528CE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C528CE">
              <w:rPr>
                <w:rFonts w:ascii="Arial" w:hAnsi="Arial" w:cs="Arial"/>
                <w:b/>
              </w:rPr>
              <w:t>7.27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  <w:bookmarkStart w:id="0" w:name="_GoBack"/>
      <w:bookmarkEnd w:id="0"/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4F5F"/>
    <w:rsid w:val="000D5D77"/>
    <w:rsid w:val="000E4FB6"/>
    <w:rsid w:val="000E52CF"/>
    <w:rsid w:val="000E681B"/>
    <w:rsid w:val="000E6C11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6E7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3E57"/>
    <w:rsid w:val="00373328"/>
    <w:rsid w:val="00386501"/>
    <w:rsid w:val="00394137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1D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6C8A"/>
    <w:rsid w:val="00925007"/>
    <w:rsid w:val="009257D0"/>
    <w:rsid w:val="00927143"/>
    <w:rsid w:val="00935647"/>
    <w:rsid w:val="009365F5"/>
    <w:rsid w:val="00936B61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116CF"/>
    <w:rsid w:val="00A133E4"/>
    <w:rsid w:val="00A14741"/>
    <w:rsid w:val="00A15FF9"/>
    <w:rsid w:val="00A171C7"/>
    <w:rsid w:val="00A32DE7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1192"/>
    <w:rsid w:val="00B94FA7"/>
    <w:rsid w:val="00B96EC4"/>
    <w:rsid w:val="00B97AAF"/>
    <w:rsid w:val="00BA08A2"/>
    <w:rsid w:val="00BA1207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528CE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C186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E2D7-5E72-4AE1-A7C9-9870E997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163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3</cp:revision>
  <cp:lastPrinted>2010-11-29T16:35:00Z</cp:lastPrinted>
  <dcterms:created xsi:type="dcterms:W3CDTF">2013-05-15T20:06:00Z</dcterms:created>
  <dcterms:modified xsi:type="dcterms:W3CDTF">2013-05-15T20:36:00Z</dcterms:modified>
</cp:coreProperties>
</file>