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BA1207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Pr="00CA6E12" w:rsidRDefault="00CA6E1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 w:rsidRPr="00CA6E12">
        <w:rPr>
          <w:rFonts w:ascii="Arial" w:hAnsi="Arial" w:cs="Arial"/>
        </w:rPr>
        <w:t xml:space="preserve">Andrew </w:t>
      </w:r>
      <w:proofErr w:type="spellStart"/>
      <w:r w:rsidRPr="00CA6E12">
        <w:rPr>
          <w:rFonts w:ascii="Arial" w:hAnsi="Arial" w:cs="Arial"/>
        </w:rPr>
        <w:t>Serri</w:t>
      </w:r>
      <w:proofErr w:type="spellEnd"/>
    </w:p>
    <w:p w:rsidR="00AF3493" w:rsidRPr="00CA6E12" w:rsidRDefault="00CA6E1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 w:rsidRPr="00CA6E12">
        <w:rPr>
          <w:rFonts w:ascii="Arial" w:hAnsi="Arial" w:cs="Arial"/>
        </w:rPr>
        <w:t>Basin Electric Power Cooperative</w:t>
      </w:r>
    </w:p>
    <w:p w:rsidR="005517AA" w:rsidRPr="00CA6E12" w:rsidRDefault="00CA6E1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 w:rsidRPr="00CA6E12">
        <w:rPr>
          <w:rFonts w:ascii="Arial" w:hAnsi="Arial" w:cs="Arial"/>
        </w:rPr>
        <w:t>1717 East Interstate Avenue</w:t>
      </w:r>
    </w:p>
    <w:p w:rsidR="00AF3493" w:rsidRDefault="00BA1207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CA6E12">
        <w:rPr>
          <w:rFonts w:ascii="Arial" w:hAnsi="Arial" w:cs="Arial"/>
        </w:rPr>
        <w:t xml:space="preserve">Bismarck ND  </w:t>
      </w:r>
      <w:r w:rsidR="00CA6E12" w:rsidRPr="00CA6E12">
        <w:rPr>
          <w:rFonts w:ascii="Arial" w:hAnsi="Arial" w:cs="Arial"/>
        </w:rPr>
        <w:t>58503-0564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D547BF">
        <w:rPr>
          <w:rFonts w:ascii="Arial" w:hAnsi="Arial" w:cs="Arial"/>
        </w:rPr>
        <w:t>08-75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47BF">
        <w:rPr>
          <w:rFonts w:ascii="Arial" w:hAnsi="Arial" w:cs="Arial"/>
        </w:rPr>
        <w:t>Basin Electric Power Cooperative, Inc.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47BF">
        <w:rPr>
          <w:rFonts w:ascii="Arial" w:hAnsi="Arial" w:cs="Arial"/>
        </w:rPr>
        <w:t>Electric Generation/Wind- Ward County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 xml:space="preserve">Siting </w:t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936B61">
        <w:rPr>
          <w:rFonts w:ascii="Arial" w:hAnsi="Arial" w:cs="Arial"/>
        </w:rPr>
        <w:t xml:space="preserve"> siting</w:t>
      </w:r>
      <w:r w:rsidR="00327077">
        <w:rPr>
          <w:rFonts w:ascii="Arial" w:hAnsi="Arial" w:cs="Arial"/>
        </w:rPr>
        <w:t xml:space="preserve"> application fee refund approved at the </w:t>
      </w:r>
      <w:r w:rsidR="00936B61"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D547BF">
        <w:rPr>
          <w:rFonts w:ascii="Arial" w:hAnsi="Arial" w:cs="Arial"/>
        </w:rPr>
        <w:t>18.85</w:t>
      </w:r>
      <w:r w:rsidR="0062222A">
        <w:rPr>
          <w:rFonts w:ascii="Arial" w:hAnsi="Arial" w:cs="Arial"/>
        </w:rPr>
        <w:t xml:space="preserve"> for</w:t>
      </w:r>
      <w:r w:rsidR="00304494">
        <w:rPr>
          <w:rFonts w:ascii="Arial" w:hAnsi="Arial" w:cs="Arial"/>
        </w:rPr>
        <w:t xml:space="preserve"> C</w:t>
      </w:r>
      <w:r w:rsidR="00D547BF">
        <w:rPr>
          <w:rFonts w:ascii="Arial" w:hAnsi="Arial" w:cs="Arial"/>
        </w:rPr>
        <w:t xml:space="preserve">ase No. </w:t>
      </w:r>
      <w:proofErr w:type="gramStart"/>
      <w:r w:rsidR="00D547BF">
        <w:rPr>
          <w:rFonts w:ascii="Arial" w:hAnsi="Arial" w:cs="Arial"/>
        </w:rPr>
        <w:t>PU-08-75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36B61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22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4F34D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Basin Electric Power Cooperative, Inc.</w:t>
            </w:r>
          </w:p>
          <w:p w:rsidR="00AF3493" w:rsidRDefault="004F34D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Electric Generation/Wind- Ward County</w:t>
            </w:r>
          </w:p>
          <w:p w:rsidR="00AF3493" w:rsidRPr="007D5D38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Siting </w:t>
            </w:r>
            <w:r w:rsidR="00192984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</w:t>
            </w:r>
            <w:r w:rsidR="004F34DD">
              <w:rPr>
                <w:rFonts w:ascii="Arial" w:hAnsi="Arial" w:cs="Arial"/>
                <w:b/>
              </w:rPr>
              <w:t>8-75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B3173D">
              <w:rPr>
                <w:rFonts w:ascii="Arial" w:hAnsi="Arial" w:cs="Arial"/>
                <w:b/>
              </w:rPr>
              <w:t>100,000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B353E8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State-Vehicle Mileage</w:t>
            </w:r>
          </w:p>
          <w:p w:rsidR="00406DF8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 Taxable</w:t>
            </w:r>
          </w:p>
          <w:p w:rsidR="00936B61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Motor/Aircraft Pool</w:t>
            </w:r>
          </w:p>
          <w:p w:rsidR="006D50BC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Postage or P.O. Box Rental</w:t>
            </w:r>
          </w:p>
          <w:p w:rsidR="00B353E8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6D50BC" w:rsidRPr="00CA6E12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CA6E12">
              <w:rPr>
                <w:rFonts w:ascii="Arial" w:hAnsi="Arial" w:cs="Arial"/>
              </w:rPr>
              <w:t>En</w:t>
            </w:r>
            <w:r w:rsidR="00CA6E12">
              <w:rPr>
                <w:rFonts w:ascii="Arial" w:hAnsi="Arial" w:cs="Arial"/>
              </w:rPr>
              <w:t>gineers</w:t>
            </w:r>
          </w:p>
          <w:p w:rsidR="00304494" w:rsidRPr="00CA6E12" w:rsidRDefault="00CA6E1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B353E8" w:rsidRDefault="002B6BE5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Professionals Not Classified</w:t>
            </w:r>
          </w:p>
          <w:p w:rsidR="00007847" w:rsidRPr="00CA6E12" w:rsidRDefault="00007847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Consultants</w:t>
            </w:r>
          </w:p>
          <w:p w:rsidR="006D50BC" w:rsidRPr="0044130E" w:rsidRDefault="006D50BC" w:rsidP="006D197F">
            <w:pPr>
              <w:tabs>
                <w:tab w:val="left" w:pos="5220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00" w:type="dxa"/>
          </w:tcPr>
          <w:p w:rsidR="00B353E8" w:rsidRPr="00CA6E12" w:rsidRDefault="00936B61" w:rsidP="00304494">
            <w:pPr>
              <w:tabs>
                <w:tab w:val="right" w:pos="2484"/>
              </w:tabs>
              <w:rPr>
                <w:rFonts w:ascii="Arial" w:hAnsi="Arial" w:cs="Arial"/>
              </w:rPr>
            </w:pPr>
            <w:r w:rsidRPr="00CA6E12">
              <w:rPr>
                <w:rFonts w:ascii="Arial" w:hAnsi="Arial" w:cs="Arial"/>
              </w:rPr>
              <w:t xml:space="preserve">                       </w:t>
            </w:r>
            <w:r w:rsidR="00304494" w:rsidRPr="00CA6E12">
              <w:rPr>
                <w:rFonts w:ascii="Arial" w:hAnsi="Arial" w:cs="Arial"/>
              </w:rPr>
              <w:tab/>
            </w:r>
            <w:r w:rsidR="00CA6E12">
              <w:rPr>
                <w:rFonts w:ascii="Arial" w:hAnsi="Arial" w:cs="Arial"/>
              </w:rPr>
              <w:t>66.00</w:t>
            </w:r>
          </w:p>
          <w:p w:rsidR="00406DF8" w:rsidRPr="00CA6E12" w:rsidRDefault="00B353E8" w:rsidP="00304494">
            <w:pPr>
              <w:tabs>
                <w:tab w:val="right" w:pos="2484"/>
              </w:tabs>
              <w:rPr>
                <w:rFonts w:ascii="Arial" w:hAnsi="Arial" w:cs="Arial"/>
              </w:rPr>
            </w:pPr>
            <w:r w:rsidRPr="00CA6E12">
              <w:rPr>
                <w:rFonts w:ascii="Arial" w:hAnsi="Arial" w:cs="Arial"/>
              </w:rPr>
              <w:t xml:space="preserve">                          </w:t>
            </w:r>
            <w:r w:rsidR="00CA6E12">
              <w:rPr>
                <w:rFonts w:ascii="Arial" w:hAnsi="Arial" w:cs="Arial"/>
              </w:rPr>
              <w:t xml:space="preserve">    7.50</w:t>
            </w:r>
          </w:p>
          <w:p w:rsidR="00936B61" w:rsidRPr="00CA6E12" w:rsidRDefault="00CA6E1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66.00</w:t>
            </w:r>
          </w:p>
          <w:p w:rsidR="006D50BC" w:rsidRPr="00CA6E12" w:rsidRDefault="00CA6E1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63.33</w:t>
            </w:r>
          </w:p>
          <w:p w:rsidR="00B353E8" w:rsidRPr="00CA6E12" w:rsidRDefault="00CA6E1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390.78</w:t>
            </w:r>
          </w:p>
          <w:p w:rsidR="006D50BC" w:rsidRPr="00CA6E12" w:rsidRDefault="00CA6E1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88.63</w:t>
            </w:r>
          </w:p>
          <w:p w:rsidR="00304494" w:rsidRPr="00CA6E12" w:rsidRDefault="00CA6E1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979.56</w:t>
            </w:r>
          </w:p>
          <w:p w:rsidR="00B353E8" w:rsidRDefault="0000784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1,050.00</w:t>
            </w:r>
          </w:p>
          <w:p w:rsidR="00007847" w:rsidRPr="00CA6E12" w:rsidRDefault="0000784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4,886.59</w:t>
            </w:r>
          </w:p>
          <w:p w:rsidR="006D50BC" w:rsidRPr="0044130E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44130E" w:rsidRDefault="005517AA" w:rsidP="006D197F">
            <w:pPr>
              <w:tabs>
                <w:tab w:val="left" w:pos="5220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00" w:type="dxa"/>
          </w:tcPr>
          <w:p w:rsidR="005517AA" w:rsidRPr="0044130E" w:rsidRDefault="005517AA" w:rsidP="00927143">
            <w:pPr>
              <w:tabs>
                <w:tab w:val="left" w:pos="522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44130E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528CE" w:rsidRPr="00CA6E12" w:rsidRDefault="00007847" w:rsidP="00C528CE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7,598.39</w:t>
            </w:r>
            <w:bookmarkStart w:id="0" w:name="_GoBack"/>
            <w:bookmarkEnd w:id="0"/>
          </w:p>
          <w:p w:rsidR="00C528CE" w:rsidRPr="0044130E" w:rsidRDefault="00C528CE" w:rsidP="00C528CE">
            <w:pPr>
              <w:tabs>
                <w:tab w:val="left" w:pos="5220"/>
              </w:tabs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P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C528CE">
              <w:rPr>
                <w:rFonts w:ascii="Arial" w:hAnsi="Arial" w:cs="Arial"/>
              </w:rPr>
              <w:t xml:space="preserve">Siting Interim Refund </w:t>
            </w:r>
            <w:r w:rsidR="00D547BF">
              <w:rPr>
                <w:rFonts w:ascii="Arial" w:hAnsi="Arial" w:cs="Arial"/>
              </w:rPr>
              <w:t>December 31, 2009</w:t>
            </w: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D547BF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92,382.76</w:t>
            </w: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304494">
              <w:rPr>
                <w:rFonts w:ascii="Arial" w:hAnsi="Arial" w:cs="Arial"/>
                <w:b/>
              </w:rPr>
              <w:t>1</w:t>
            </w:r>
            <w:r w:rsidR="0044130E">
              <w:rPr>
                <w:rFonts w:ascii="Arial" w:hAnsi="Arial" w:cs="Arial"/>
                <w:b/>
              </w:rPr>
              <w:t>8.85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07847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6E7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B6BE5"/>
    <w:rsid w:val="002D26D8"/>
    <w:rsid w:val="002D4133"/>
    <w:rsid w:val="002D7697"/>
    <w:rsid w:val="002E2B28"/>
    <w:rsid w:val="002E5C64"/>
    <w:rsid w:val="002E7CA6"/>
    <w:rsid w:val="00300F8D"/>
    <w:rsid w:val="00304494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30E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34DD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01A29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06E3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36B61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3173D"/>
    <w:rsid w:val="00B353E8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1207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28CE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A6E12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547BF"/>
    <w:rsid w:val="00D60E3B"/>
    <w:rsid w:val="00D61D47"/>
    <w:rsid w:val="00D6718C"/>
    <w:rsid w:val="00D726BC"/>
    <w:rsid w:val="00D87609"/>
    <w:rsid w:val="00D911E5"/>
    <w:rsid w:val="00D931B8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62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75EA8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1216-D005-41A3-9402-6D4B82E9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7</cp:revision>
  <cp:lastPrinted>2010-11-29T16:35:00Z</cp:lastPrinted>
  <dcterms:created xsi:type="dcterms:W3CDTF">2013-05-15T21:40:00Z</dcterms:created>
  <dcterms:modified xsi:type="dcterms:W3CDTF">2013-05-16T14:20:00Z</dcterms:modified>
</cp:coreProperties>
</file>