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CC186E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2E0C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Zeviel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Simpser</w:t>
      </w:r>
      <w:proofErr w:type="spellEnd"/>
    </w:p>
    <w:p w:rsidR="00AF3493" w:rsidRDefault="002E0C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Briggs and Morgan</w:t>
      </w:r>
    </w:p>
    <w:p w:rsidR="005517AA" w:rsidRDefault="002E0C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2200 IDS Center</w:t>
      </w:r>
    </w:p>
    <w:p w:rsidR="002E0CD2" w:rsidRDefault="002E0C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80 S 8</w:t>
      </w:r>
      <w:r w:rsidRPr="002E0CD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</w:t>
      </w:r>
    </w:p>
    <w:p w:rsidR="00AF3493" w:rsidRDefault="002E0CD2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Minneapolis MN  55402-2157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2E0CD2">
        <w:rPr>
          <w:rFonts w:ascii="Arial" w:hAnsi="Arial" w:cs="Arial"/>
        </w:rPr>
        <w:t>09-678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CD2">
        <w:rPr>
          <w:rFonts w:ascii="Arial" w:hAnsi="Arial" w:cs="Arial"/>
        </w:rPr>
        <w:t>Northern States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 xml:space="preserve">Advance Determination of Prudence- </w:t>
      </w:r>
      <w:r w:rsidR="00B91192">
        <w:rPr>
          <w:rFonts w:ascii="Arial" w:hAnsi="Arial" w:cs="Arial"/>
        </w:rPr>
        <w:t>CapX2020 Group 1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B91192"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2E0CD2">
        <w:rPr>
          <w:rFonts w:ascii="Arial" w:hAnsi="Arial" w:cs="Arial"/>
        </w:rPr>
        <w:t>119,167.76</w:t>
      </w:r>
      <w:r w:rsidR="0062222A">
        <w:rPr>
          <w:rFonts w:ascii="Arial" w:hAnsi="Arial" w:cs="Arial"/>
        </w:rPr>
        <w:t xml:space="preserve"> for</w:t>
      </w:r>
      <w:r w:rsidR="00B91192">
        <w:rPr>
          <w:rFonts w:ascii="Arial" w:hAnsi="Arial" w:cs="Arial"/>
        </w:rPr>
        <w:t xml:space="preserve"> Case No. </w:t>
      </w:r>
      <w:proofErr w:type="gramStart"/>
      <w:r w:rsidR="00B91192">
        <w:rPr>
          <w:rFonts w:ascii="Arial" w:hAnsi="Arial" w:cs="Arial"/>
        </w:rPr>
        <w:t>PU-</w:t>
      </w:r>
      <w:r w:rsidR="002E0CD2">
        <w:rPr>
          <w:rFonts w:ascii="Arial" w:hAnsi="Arial" w:cs="Arial"/>
        </w:rPr>
        <w:t>09-678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B9119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30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2E0CD2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States Power Company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Advance Determination of Prudence- </w:t>
            </w:r>
            <w:r w:rsidR="00B91192">
              <w:rPr>
                <w:rFonts w:ascii="Arial" w:hAnsi="Arial" w:cs="Arial"/>
                <w:b/>
              </w:rPr>
              <w:t>CapX2020 Group 1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09-67</w:t>
            </w:r>
            <w:r w:rsidR="002E0CD2">
              <w:rPr>
                <w:rFonts w:ascii="Arial" w:hAnsi="Arial" w:cs="Arial"/>
                <w:b/>
              </w:rPr>
              <w:t>8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Default="002E0CD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Charges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2E0CD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766.71</w:t>
            </w:r>
          </w:p>
          <w:p w:rsidR="006D50BC" w:rsidRDefault="002E0CD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5,055.72</w:t>
            </w:r>
          </w:p>
          <w:p w:rsidR="006D50BC" w:rsidRDefault="002E0CD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9.81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B9119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5,83</w:t>
            </w:r>
            <w:r w:rsidR="002E0CD2">
              <w:rPr>
                <w:rFonts w:ascii="Arial" w:hAnsi="Arial" w:cs="Arial"/>
                <w:b/>
              </w:rPr>
              <w:t>2.24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B91192">
              <w:rPr>
                <w:rFonts w:ascii="Arial" w:hAnsi="Arial" w:cs="Arial"/>
                <w:b/>
              </w:rPr>
              <w:t>119,16</w:t>
            </w:r>
            <w:r w:rsidR="002E0CD2">
              <w:rPr>
                <w:rFonts w:ascii="Arial" w:hAnsi="Arial" w:cs="Arial"/>
                <w:b/>
              </w:rPr>
              <w:t>7.76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3984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0CD2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CF9C-4825-44DD-BBD9-63D226AB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2013-01-29T15:21:00Z</dcterms:created>
  <dcterms:modified xsi:type="dcterms:W3CDTF">2013-01-29T15:27:00Z</dcterms:modified>
</cp:coreProperties>
</file>