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5F5F99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11</w:t>
      </w:r>
      <w:r w:rsidR="00927143">
        <w:rPr>
          <w:rFonts w:ascii="Arial" w:hAnsi="Arial" w:cs="Arial"/>
        </w:rPr>
        <w:t>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8F2610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Zeviel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Simpser</w:t>
      </w:r>
      <w:proofErr w:type="spellEnd"/>
    </w:p>
    <w:p w:rsidR="00AF3493" w:rsidRDefault="008F2610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Briggs and Morgan</w:t>
      </w:r>
    </w:p>
    <w:p w:rsidR="005517AA" w:rsidRDefault="008F2610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2200 IDS Center</w:t>
      </w:r>
    </w:p>
    <w:p w:rsidR="008F2610" w:rsidRDefault="008F2610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80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South 8</w:t>
      </w:r>
      <w:r w:rsidRPr="008F261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</w:t>
      </w:r>
    </w:p>
    <w:p w:rsidR="00AF3493" w:rsidRDefault="0036214B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Minneapolis MN  5540</w:t>
      </w:r>
      <w:r w:rsidR="008F2610">
        <w:rPr>
          <w:rFonts w:ascii="Arial" w:hAnsi="Arial" w:cs="Arial"/>
        </w:rPr>
        <w:t>2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AF7867">
        <w:rPr>
          <w:rFonts w:ascii="Arial" w:hAnsi="Arial" w:cs="Arial"/>
        </w:rPr>
        <w:t>10-657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5F99">
        <w:rPr>
          <w:rFonts w:ascii="Arial" w:hAnsi="Arial" w:cs="Arial"/>
        </w:rPr>
        <w:t>Northern States Power Company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F7867">
        <w:rPr>
          <w:rFonts w:ascii="Arial" w:hAnsi="Arial" w:cs="Arial"/>
        </w:rPr>
        <w:t>2011 Electric Rate Increase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5F99">
        <w:rPr>
          <w:rFonts w:ascii="Arial" w:hAnsi="Arial" w:cs="Arial"/>
        </w:rPr>
        <w:t>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36214B">
        <w:rPr>
          <w:rFonts w:ascii="Arial" w:hAnsi="Arial" w:cs="Arial"/>
        </w:rPr>
        <w:t>n application</w:t>
      </w:r>
      <w:r w:rsidR="00327077">
        <w:rPr>
          <w:rFonts w:ascii="Arial" w:hAnsi="Arial" w:cs="Arial"/>
        </w:rPr>
        <w:t xml:space="preserve"> fee refund approved at the </w:t>
      </w:r>
      <w:r w:rsidR="005F5F99">
        <w:rPr>
          <w:rFonts w:ascii="Arial" w:hAnsi="Arial" w:cs="Arial"/>
        </w:rPr>
        <w:t>September 11</w:t>
      </w:r>
      <w:r w:rsidR="00927143">
        <w:rPr>
          <w:rFonts w:ascii="Arial" w:hAnsi="Arial" w:cs="Arial"/>
        </w:rPr>
        <w:t>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AF7867">
        <w:rPr>
          <w:rFonts w:ascii="Arial" w:hAnsi="Arial" w:cs="Arial"/>
        </w:rPr>
        <w:t>23,397.93</w:t>
      </w:r>
      <w:r w:rsidR="0062222A">
        <w:rPr>
          <w:rFonts w:ascii="Arial" w:hAnsi="Arial" w:cs="Arial"/>
        </w:rPr>
        <w:t xml:space="preserve"> for</w:t>
      </w:r>
      <w:r w:rsidR="00AF7867">
        <w:rPr>
          <w:rFonts w:ascii="Arial" w:hAnsi="Arial" w:cs="Arial"/>
        </w:rPr>
        <w:t xml:space="preserve"> Case No. </w:t>
      </w:r>
      <w:proofErr w:type="gramStart"/>
      <w:r w:rsidR="00AF7867">
        <w:rPr>
          <w:rFonts w:ascii="Arial" w:hAnsi="Arial" w:cs="Arial"/>
        </w:rPr>
        <w:t>PU-10-657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>refund o</w:t>
      </w:r>
      <w:r w:rsidR="0057690B">
        <w:rPr>
          <w:rFonts w:ascii="Arial" w:hAnsi="Arial" w:cs="Arial"/>
        </w:rPr>
        <w:t xml:space="preserve">f the portion of the </w:t>
      </w:r>
      <w:r w:rsidR="0036214B">
        <w:rPr>
          <w:rFonts w:ascii="Arial" w:hAnsi="Arial" w:cs="Arial"/>
        </w:rPr>
        <w:t>application</w:t>
      </w:r>
      <w:r w:rsidRPr="00E719C8">
        <w:rPr>
          <w:rFonts w:ascii="Arial" w:hAnsi="Arial" w:cs="Arial"/>
        </w:rPr>
        <w:t xml:space="preserve"> fee paid in the above case, less </w:t>
      </w:r>
      <w:proofErr w:type="gramStart"/>
      <w:r w:rsidRPr="00E719C8">
        <w:rPr>
          <w:rFonts w:ascii="Arial" w:hAnsi="Arial" w:cs="Arial"/>
        </w:rPr>
        <w:t>expenditures</w:t>
      </w:r>
      <w:proofErr w:type="gramEnd"/>
      <w:r w:rsidRPr="00E719C8">
        <w:rPr>
          <w:rFonts w:ascii="Arial" w:hAnsi="Arial" w:cs="Arial"/>
        </w:rPr>
        <w:t xml:space="preserve">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5F5F99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5F5F99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11</w:t>
      </w:r>
      <w:r w:rsidR="00927143">
        <w:rPr>
          <w:rFonts w:ascii="Arial" w:hAnsi="Arial" w:cs="Arial"/>
          <w:b/>
        </w:rPr>
        <w:t>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5F5F99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Northern States Power Company</w:t>
            </w:r>
          </w:p>
          <w:p w:rsidR="00AF3493" w:rsidRDefault="00D8578D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 Electric Rate Increase</w:t>
            </w:r>
          </w:p>
          <w:p w:rsidR="00AF3493" w:rsidRPr="007D5D38" w:rsidRDefault="0036214B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5F5F99">
              <w:rPr>
                <w:rFonts w:ascii="Arial" w:hAnsi="Arial" w:cs="Arial"/>
                <w:b/>
              </w:rPr>
              <w:t>10-</w:t>
            </w:r>
            <w:r w:rsidR="00D8578D">
              <w:rPr>
                <w:rFonts w:ascii="Arial" w:hAnsi="Arial" w:cs="Arial"/>
                <w:b/>
              </w:rPr>
              <w:t>657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36214B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Siting</w:t>
            </w:r>
            <w:r w:rsidR="005252DF">
              <w:rPr>
                <w:rFonts w:ascii="Arial" w:hAnsi="Arial" w:cs="Arial"/>
                <w:b/>
              </w:rPr>
              <w:t xml:space="preserve">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862325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5F5F99">
              <w:rPr>
                <w:rFonts w:ascii="Arial" w:hAnsi="Arial" w:cs="Arial"/>
                <w:b/>
              </w:rPr>
              <w:t>25</w:t>
            </w:r>
            <w:r w:rsidR="006D50BC">
              <w:rPr>
                <w:rFonts w:ascii="Arial" w:hAnsi="Arial" w:cs="Arial"/>
                <w:b/>
              </w:rPr>
              <w:t>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6D50BC" w:rsidRDefault="00D8578D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State- Lodging</w:t>
            </w:r>
          </w:p>
          <w:p w:rsidR="0036214B" w:rsidRDefault="00D8578D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State- Meals</w:t>
            </w:r>
          </w:p>
          <w:p w:rsidR="00D8578D" w:rsidRDefault="00D8578D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Motor/Aircraft Pool</w:t>
            </w:r>
          </w:p>
          <w:p w:rsidR="00D8578D" w:rsidRDefault="00D8578D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 of State-Lodging</w:t>
            </w:r>
          </w:p>
          <w:p w:rsidR="00D8578D" w:rsidRDefault="00D8578D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 of State-Meals</w:t>
            </w:r>
          </w:p>
          <w:p w:rsidR="00D8578D" w:rsidRDefault="00D8578D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Postage</w:t>
            </w:r>
          </w:p>
          <w:p w:rsidR="00D8578D" w:rsidRDefault="00D8578D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Duplicating-Printing</w:t>
            </w:r>
          </w:p>
          <w:p w:rsidR="00D8578D" w:rsidRDefault="00D8578D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Expenses</w:t>
            </w:r>
          </w:p>
          <w:p w:rsidR="00D8578D" w:rsidRDefault="00D8578D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Advertising Services</w:t>
            </w:r>
          </w:p>
          <w:p w:rsidR="00D8578D" w:rsidRDefault="00D8578D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</w:t>
            </w:r>
          </w:p>
          <w:p w:rsidR="00A5155E" w:rsidRDefault="00D8578D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Legal-Administrative Hearing</w:t>
            </w:r>
          </w:p>
          <w:p w:rsidR="00D8578D" w:rsidRPr="006D197F" w:rsidRDefault="00D8578D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Mgmt</w:t>
            </w:r>
            <w:proofErr w:type="spellEnd"/>
            <w:r>
              <w:rPr>
                <w:rFonts w:ascii="Arial" w:hAnsi="Arial" w:cs="Arial"/>
              </w:rPr>
              <w:t xml:space="preserve">/Consulting </w:t>
            </w:r>
            <w:proofErr w:type="spellStart"/>
            <w:r>
              <w:rPr>
                <w:rFonts w:ascii="Arial" w:hAnsi="Arial" w:cs="Arial"/>
              </w:rPr>
              <w:t>Serv</w:t>
            </w:r>
            <w:proofErr w:type="spellEnd"/>
            <w:r>
              <w:rPr>
                <w:rFonts w:ascii="Arial" w:hAnsi="Arial" w:cs="Arial"/>
              </w:rPr>
              <w:t xml:space="preserve"> &gt;</w:t>
            </w:r>
            <w:r w:rsidR="00733850">
              <w:rPr>
                <w:rFonts w:ascii="Arial" w:hAnsi="Arial" w:cs="Arial"/>
              </w:rPr>
              <w:t xml:space="preserve"> $25,000</w:t>
            </w:r>
          </w:p>
        </w:tc>
        <w:tc>
          <w:tcPr>
            <w:tcW w:w="2700" w:type="dxa"/>
          </w:tcPr>
          <w:p w:rsidR="00406DF8" w:rsidRDefault="00D8578D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55.00</w:t>
            </w:r>
          </w:p>
          <w:p w:rsidR="00A5155E" w:rsidRDefault="00D8578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12.50</w:t>
            </w:r>
          </w:p>
          <w:p w:rsidR="00D8578D" w:rsidRDefault="00D8578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151.37</w:t>
            </w:r>
          </w:p>
          <w:p w:rsidR="00D8578D" w:rsidRDefault="00D8578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203.56</w:t>
            </w:r>
          </w:p>
          <w:p w:rsidR="00D8578D" w:rsidRDefault="00D8578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106.50</w:t>
            </w:r>
          </w:p>
          <w:p w:rsidR="00D8578D" w:rsidRDefault="00D8578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19.59</w:t>
            </w:r>
          </w:p>
          <w:p w:rsidR="00D8578D" w:rsidRDefault="00D8578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82.39</w:t>
            </w:r>
          </w:p>
          <w:p w:rsidR="00D8578D" w:rsidRDefault="00D8578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</w:t>
            </w:r>
          </w:p>
          <w:p w:rsidR="00D8578D" w:rsidRDefault="00D8578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664.88</w:t>
            </w:r>
          </w:p>
          <w:p w:rsidR="00D8578D" w:rsidRDefault="00D8578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6,036.62</w:t>
            </w:r>
          </w:p>
          <w:p w:rsidR="00D8578D" w:rsidRDefault="00D8578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2,812.75</w:t>
            </w:r>
          </w:p>
          <w:p w:rsidR="00D8578D" w:rsidRDefault="00733850" w:rsidP="00733850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91,421.91</w:t>
            </w:r>
          </w:p>
          <w:p w:rsidR="00D8578D" w:rsidRDefault="00D8578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</w:p>
          <w:p w:rsidR="00D8578D" w:rsidRPr="006D197F" w:rsidRDefault="00D8578D" w:rsidP="000B3ADD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0B3ADD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33850">
              <w:rPr>
                <w:rFonts w:ascii="Arial" w:hAnsi="Arial" w:cs="Arial"/>
                <w:b/>
              </w:rPr>
              <w:t>01,602.07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CB531F">
              <w:rPr>
                <w:rFonts w:ascii="Arial" w:hAnsi="Arial" w:cs="Arial"/>
                <w:b/>
              </w:rPr>
              <w:t>23,397.93</w:t>
            </w:r>
            <w:bookmarkStart w:id="0" w:name="_GoBack"/>
            <w:bookmarkEnd w:id="0"/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ADD"/>
    <w:rsid w:val="000B3EAC"/>
    <w:rsid w:val="000B6207"/>
    <w:rsid w:val="000C05F7"/>
    <w:rsid w:val="000C4F5F"/>
    <w:rsid w:val="000D4E15"/>
    <w:rsid w:val="000D5D77"/>
    <w:rsid w:val="000E4FB6"/>
    <w:rsid w:val="000E52CF"/>
    <w:rsid w:val="000E681B"/>
    <w:rsid w:val="000E6C11"/>
    <w:rsid w:val="000E7CEE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8632F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53267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0D0E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214B"/>
    <w:rsid w:val="00363E57"/>
    <w:rsid w:val="00373328"/>
    <w:rsid w:val="00386501"/>
    <w:rsid w:val="00394137"/>
    <w:rsid w:val="0039658B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7C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7690B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5F5F99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4608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850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2325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2610"/>
    <w:rsid w:val="008F3A23"/>
    <w:rsid w:val="008F6507"/>
    <w:rsid w:val="00900B8C"/>
    <w:rsid w:val="00901624"/>
    <w:rsid w:val="00902E1C"/>
    <w:rsid w:val="00906BF0"/>
    <w:rsid w:val="009110C9"/>
    <w:rsid w:val="009125B6"/>
    <w:rsid w:val="00916C8A"/>
    <w:rsid w:val="00925007"/>
    <w:rsid w:val="009257D0"/>
    <w:rsid w:val="00927143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04AED"/>
    <w:rsid w:val="00A116CF"/>
    <w:rsid w:val="00A133E4"/>
    <w:rsid w:val="00A14741"/>
    <w:rsid w:val="00A15FF9"/>
    <w:rsid w:val="00A171C7"/>
    <w:rsid w:val="00A32DE7"/>
    <w:rsid w:val="00A5155E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AF7867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31F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578D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6314-FE15-45C8-8F12-D6251EBC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5</cp:revision>
  <cp:lastPrinted>2010-11-29T16:35:00Z</cp:lastPrinted>
  <dcterms:created xsi:type="dcterms:W3CDTF">2013-09-03T20:31:00Z</dcterms:created>
  <dcterms:modified xsi:type="dcterms:W3CDTF">2013-09-04T13:50:00Z</dcterms:modified>
</cp:coreProperties>
</file>