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927143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16,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Daniel Kuntz</w:t>
      </w:r>
    </w:p>
    <w:p w:rsidR="00AF3493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MDU Resources Group, Inc.</w:t>
      </w:r>
    </w:p>
    <w:p w:rsidR="005517AA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5650</w:t>
      </w:r>
    </w:p>
    <w:p w:rsidR="00AF3493" w:rsidRDefault="00927143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Bismarck ND  58506-5650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A04AED">
        <w:rPr>
          <w:rFonts w:ascii="Arial" w:hAnsi="Arial" w:cs="Arial"/>
        </w:rPr>
        <w:t>11-396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7143">
        <w:rPr>
          <w:rFonts w:ascii="Arial" w:hAnsi="Arial" w:cs="Arial"/>
        </w:rPr>
        <w:t>Montana-Dakota Utilities Co., a Division of MDU Resources Group, Inc.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AED">
        <w:rPr>
          <w:rFonts w:ascii="Arial" w:hAnsi="Arial" w:cs="Arial"/>
        </w:rPr>
        <w:t xml:space="preserve">88 MW Combustion </w:t>
      </w:r>
      <w:proofErr w:type="gramStart"/>
      <w:r w:rsidR="00A04AED">
        <w:rPr>
          <w:rFonts w:ascii="Arial" w:hAnsi="Arial" w:cs="Arial"/>
        </w:rPr>
        <w:t>Turbine</w:t>
      </w:r>
      <w:proofErr w:type="gramEnd"/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AED">
        <w:rPr>
          <w:rFonts w:ascii="Arial" w:hAnsi="Arial" w:cs="Arial"/>
        </w:rPr>
        <w:t>Public Convenience &amp; Necessity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927143">
        <w:rPr>
          <w:rFonts w:ascii="Arial" w:hAnsi="Arial" w:cs="Arial"/>
        </w:rPr>
        <w:t>January 16,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A04AED">
        <w:rPr>
          <w:rFonts w:ascii="Arial" w:hAnsi="Arial" w:cs="Arial"/>
        </w:rPr>
        <w:t>87,314.84</w:t>
      </w:r>
      <w:r w:rsidR="0062222A">
        <w:rPr>
          <w:rFonts w:ascii="Arial" w:hAnsi="Arial" w:cs="Arial"/>
        </w:rPr>
        <w:t xml:space="preserve"> for</w:t>
      </w:r>
      <w:r w:rsidR="00A04AED">
        <w:rPr>
          <w:rFonts w:ascii="Arial" w:hAnsi="Arial" w:cs="Arial"/>
        </w:rPr>
        <w:t xml:space="preserve"> Case No. </w:t>
      </w:r>
      <w:proofErr w:type="gramStart"/>
      <w:r w:rsidR="00A04AED">
        <w:rPr>
          <w:rFonts w:ascii="Arial" w:hAnsi="Arial" w:cs="Arial"/>
        </w:rPr>
        <w:t>PU-11-396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27143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16,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927143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Montana-Dakota Utilities Co., a Division of MDU Resources Group, Inc.</w:t>
            </w:r>
          </w:p>
          <w:p w:rsidR="00AF3493" w:rsidRDefault="00A04AE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 MW Combustion Turbine</w:t>
            </w:r>
          </w:p>
          <w:p w:rsidR="00AF3493" w:rsidRPr="007D5D38" w:rsidRDefault="00A04AED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Convenience &amp; Necessity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92984">
              <w:rPr>
                <w:rFonts w:ascii="Arial" w:hAnsi="Arial" w:cs="Arial"/>
                <w:b/>
              </w:rPr>
              <w:t>1-</w:t>
            </w:r>
            <w:r w:rsidR="00927143">
              <w:rPr>
                <w:rFonts w:ascii="Arial" w:hAnsi="Arial" w:cs="Arial"/>
                <w:b/>
              </w:rPr>
              <w:t>39</w:t>
            </w:r>
            <w:r w:rsidR="00A04AED">
              <w:rPr>
                <w:rFonts w:ascii="Arial" w:hAnsi="Arial" w:cs="Arial"/>
                <w:b/>
              </w:rPr>
              <w:t>6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Management/Consulting Services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A04AE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339.67</w:t>
            </w:r>
          </w:p>
          <w:p w:rsidR="00A04AED" w:rsidRDefault="00A04AE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40.50</w:t>
            </w:r>
          </w:p>
          <w:p w:rsidR="006D50BC" w:rsidRDefault="00A04AED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37,304.99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927143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A04AED">
              <w:rPr>
                <w:rFonts w:ascii="Arial" w:hAnsi="Arial" w:cs="Arial"/>
                <w:b/>
              </w:rPr>
              <w:t>7,685.16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927143">
              <w:rPr>
                <w:rFonts w:ascii="Arial" w:hAnsi="Arial" w:cs="Arial"/>
                <w:b/>
              </w:rPr>
              <w:t>8</w:t>
            </w:r>
            <w:r w:rsidR="00A04AED">
              <w:rPr>
                <w:rFonts w:ascii="Arial" w:hAnsi="Arial" w:cs="Arial"/>
                <w:b/>
              </w:rPr>
              <w:t>7,314.84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04AED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BB42-C888-444B-BC7D-8FA692B7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2013-01-11T19:49:00Z</dcterms:created>
  <dcterms:modified xsi:type="dcterms:W3CDTF">2013-01-11T19:52:00Z</dcterms:modified>
</cp:coreProperties>
</file>