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07" w:rsidRPr="00BD541B" w:rsidRDefault="00F34A07" w:rsidP="00F34A07">
      <w:pPr>
        <w:jc w:val="center"/>
        <w:rPr>
          <w:rFonts w:cs="Arial"/>
          <w:sz w:val="22"/>
          <w:szCs w:val="22"/>
        </w:rPr>
      </w:pPr>
    </w:p>
    <w:p w:rsidR="00F34A07" w:rsidRPr="00BD541B" w:rsidRDefault="00F34A07" w:rsidP="00F34A07">
      <w:pPr>
        <w:jc w:val="center"/>
        <w:rPr>
          <w:rFonts w:cs="Arial"/>
          <w:sz w:val="22"/>
          <w:szCs w:val="22"/>
        </w:rPr>
      </w:pPr>
    </w:p>
    <w:p w:rsidR="00F34A07" w:rsidRPr="00BD541B" w:rsidRDefault="00F34A07" w:rsidP="00F34A07">
      <w:pPr>
        <w:jc w:val="center"/>
        <w:rPr>
          <w:rFonts w:cs="Arial"/>
          <w:sz w:val="22"/>
          <w:szCs w:val="22"/>
        </w:rPr>
      </w:pPr>
    </w:p>
    <w:p w:rsidR="00F34A07" w:rsidRPr="00BD541B" w:rsidRDefault="00F34A07" w:rsidP="00F34A07">
      <w:pPr>
        <w:jc w:val="center"/>
        <w:rPr>
          <w:rFonts w:cs="Arial"/>
          <w:sz w:val="22"/>
          <w:szCs w:val="22"/>
        </w:rPr>
      </w:pPr>
    </w:p>
    <w:p w:rsidR="00F34A07" w:rsidRPr="00BD541B" w:rsidRDefault="00F34A07" w:rsidP="00F34A07">
      <w:pPr>
        <w:jc w:val="center"/>
        <w:rPr>
          <w:rFonts w:cs="Arial"/>
          <w:sz w:val="22"/>
          <w:szCs w:val="22"/>
        </w:rPr>
      </w:pPr>
    </w:p>
    <w:p w:rsidR="00F34A07" w:rsidRPr="00BD541B" w:rsidRDefault="00F34A07" w:rsidP="00F34A07">
      <w:pPr>
        <w:tabs>
          <w:tab w:val="left" w:pos="3240"/>
        </w:tabs>
        <w:rPr>
          <w:rFonts w:cs="Arial"/>
          <w:sz w:val="22"/>
          <w:szCs w:val="22"/>
        </w:rPr>
      </w:pPr>
      <w:r w:rsidRPr="00BD541B">
        <w:rPr>
          <w:rFonts w:cs="Arial"/>
          <w:sz w:val="22"/>
          <w:szCs w:val="22"/>
        </w:rPr>
        <w:tab/>
      </w:r>
      <w:r w:rsidR="0011134E" w:rsidRPr="00BD541B">
        <w:rPr>
          <w:rFonts w:cs="Arial"/>
          <w:sz w:val="22"/>
          <w:szCs w:val="22"/>
        </w:rPr>
        <w:t xml:space="preserve">August </w:t>
      </w:r>
      <w:r w:rsidR="00B324AF">
        <w:rPr>
          <w:rFonts w:cs="Arial"/>
          <w:sz w:val="22"/>
          <w:szCs w:val="22"/>
        </w:rPr>
        <w:t>28</w:t>
      </w:r>
      <w:r w:rsidRPr="00BD541B">
        <w:rPr>
          <w:rFonts w:cs="Arial"/>
          <w:sz w:val="22"/>
          <w:szCs w:val="22"/>
        </w:rPr>
        <w:t>, 2013</w:t>
      </w:r>
    </w:p>
    <w:p w:rsidR="00F34A07" w:rsidRPr="00BD541B" w:rsidRDefault="00F34A07" w:rsidP="00F34A07">
      <w:pPr>
        <w:rPr>
          <w:rFonts w:cs="Arial"/>
          <w:sz w:val="22"/>
          <w:szCs w:val="22"/>
        </w:rPr>
      </w:pPr>
    </w:p>
    <w:p w:rsidR="00F34A07" w:rsidRPr="00BD541B" w:rsidRDefault="00F34A07" w:rsidP="00F34A07">
      <w:pPr>
        <w:rPr>
          <w:rFonts w:cs="Arial"/>
          <w:sz w:val="22"/>
          <w:szCs w:val="22"/>
        </w:rPr>
      </w:pPr>
    </w:p>
    <w:p w:rsidR="00F34A07" w:rsidRPr="00BD541B" w:rsidRDefault="00F34A07" w:rsidP="00F34A07">
      <w:pPr>
        <w:rPr>
          <w:rFonts w:cs="Arial"/>
          <w:sz w:val="22"/>
          <w:szCs w:val="22"/>
        </w:rPr>
      </w:pPr>
    </w:p>
    <w:tbl>
      <w:tblPr>
        <w:tblW w:w="9576" w:type="dxa"/>
        <w:tblLayout w:type="fixed"/>
        <w:tblLook w:val="0000" w:firstRow="0" w:lastRow="0" w:firstColumn="0" w:lastColumn="0" w:noHBand="0" w:noVBand="0"/>
      </w:tblPr>
      <w:tblGrid>
        <w:gridCol w:w="4788"/>
        <w:gridCol w:w="4788"/>
      </w:tblGrid>
      <w:tr w:rsidR="00F34A07" w:rsidRPr="00BD541B" w:rsidTr="00825D63">
        <w:trPr>
          <w:trHeight w:val="927"/>
        </w:trPr>
        <w:tc>
          <w:tcPr>
            <w:tcW w:w="4788" w:type="dxa"/>
          </w:tcPr>
          <w:p w:rsidR="00F34A07" w:rsidRPr="00BD541B" w:rsidRDefault="001B241C" w:rsidP="00154BF7">
            <w:pPr>
              <w:tabs>
                <w:tab w:val="left" w:pos="720"/>
                <w:tab w:val="left" w:pos="5400"/>
                <w:tab w:val="right" w:pos="9360"/>
              </w:tabs>
              <w:rPr>
                <w:rFonts w:cs="Arial"/>
                <w:bCs/>
                <w:sz w:val="22"/>
                <w:szCs w:val="22"/>
              </w:rPr>
            </w:pPr>
            <w:r w:rsidRPr="00BD541B">
              <w:rPr>
                <w:rFonts w:cs="Arial"/>
                <w:bCs/>
                <w:sz w:val="22"/>
                <w:szCs w:val="22"/>
              </w:rPr>
              <w:t>Greg Henderson</w:t>
            </w:r>
          </w:p>
          <w:p w:rsidR="001B241C" w:rsidRPr="00BD541B" w:rsidRDefault="001B241C" w:rsidP="00154BF7">
            <w:pPr>
              <w:tabs>
                <w:tab w:val="left" w:pos="720"/>
                <w:tab w:val="left" w:pos="5400"/>
                <w:tab w:val="right" w:pos="9360"/>
              </w:tabs>
              <w:rPr>
                <w:rFonts w:cs="Arial"/>
                <w:bCs/>
                <w:sz w:val="22"/>
                <w:szCs w:val="22"/>
              </w:rPr>
            </w:pPr>
            <w:r w:rsidRPr="00BD541B">
              <w:rPr>
                <w:rFonts w:cs="Arial"/>
                <w:bCs/>
                <w:sz w:val="22"/>
                <w:szCs w:val="22"/>
              </w:rPr>
              <w:t>Tesoro Logistics GP, LLC</w:t>
            </w:r>
          </w:p>
          <w:p w:rsidR="00F34A07" w:rsidRPr="00BD541B" w:rsidRDefault="001B241C" w:rsidP="00154BF7">
            <w:pPr>
              <w:tabs>
                <w:tab w:val="left" w:pos="720"/>
                <w:tab w:val="left" w:pos="5400"/>
                <w:tab w:val="right" w:pos="9360"/>
              </w:tabs>
              <w:rPr>
                <w:rFonts w:cs="Arial"/>
                <w:bCs/>
                <w:sz w:val="22"/>
                <w:szCs w:val="22"/>
              </w:rPr>
            </w:pPr>
            <w:r w:rsidRPr="00BD541B">
              <w:rPr>
                <w:rFonts w:cs="Arial"/>
                <w:bCs/>
                <w:sz w:val="22"/>
                <w:szCs w:val="22"/>
              </w:rPr>
              <w:t>19100 Ridgewood Parkway</w:t>
            </w:r>
          </w:p>
          <w:p w:rsidR="00F34A07" w:rsidRPr="00BD541B" w:rsidRDefault="001B241C" w:rsidP="00154BF7">
            <w:pPr>
              <w:tabs>
                <w:tab w:val="left" w:pos="720"/>
                <w:tab w:val="left" w:pos="5400"/>
                <w:tab w:val="right" w:pos="9360"/>
              </w:tabs>
              <w:rPr>
                <w:rFonts w:cs="Arial"/>
                <w:bCs/>
                <w:sz w:val="22"/>
                <w:szCs w:val="22"/>
              </w:rPr>
            </w:pPr>
            <w:r w:rsidRPr="00BD541B">
              <w:rPr>
                <w:rFonts w:cs="Arial"/>
                <w:bCs/>
                <w:sz w:val="22"/>
                <w:szCs w:val="22"/>
              </w:rPr>
              <w:t>San Antonio TX 78259</w:t>
            </w:r>
          </w:p>
          <w:p w:rsidR="00F34A07" w:rsidRPr="00BD541B" w:rsidRDefault="00F34A07" w:rsidP="00154BF7">
            <w:pPr>
              <w:tabs>
                <w:tab w:val="left" w:pos="720"/>
                <w:tab w:val="left" w:pos="5400"/>
                <w:tab w:val="right" w:pos="9360"/>
              </w:tabs>
              <w:rPr>
                <w:rFonts w:cs="Arial"/>
                <w:bCs/>
                <w:sz w:val="22"/>
                <w:szCs w:val="22"/>
              </w:rPr>
            </w:pPr>
            <w:r w:rsidRPr="00BD541B">
              <w:rPr>
                <w:rFonts w:cs="Arial"/>
                <w:bCs/>
                <w:sz w:val="22"/>
                <w:szCs w:val="22"/>
              </w:rPr>
              <w:t>Bismarck, ND 58502-2798</w:t>
            </w:r>
          </w:p>
        </w:tc>
        <w:tc>
          <w:tcPr>
            <w:tcW w:w="4788" w:type="dxa"/>
          </w:tcPr>
          <w:p w:rsidR="00F34A07" w:rsidRPr="00BD541B" w:rsidRDefault="00F34A07" w:rsidP="00154BF7">
            <w:pPr>
              <w:tabs>
                <w:tab w:val="left" w:pos="720"/>
                <w:tab w:val="left" w:pos="1584"/>
                <w:tab w:val="left" w:pos="3456"/>
                <w:tab w:val="left" w:pos="6480"/>
              </w:tabs>
              <w:rPr>
                <w:rFonts w:cs="Arial"/>
                <w:bCs/>
                <w:sz w:val="22"/>
                <w:szCs w:val="22"/>
              </w:rPr>
            </w:pPr>
          </w:p>
        </w:tc>
      </w:tr>
    </w:tbl>
    <w:p w:rsidR="00F34A07" w:rsidRPr="00BD541B" w:rsidRDefault="00F34A07" w:rsidP="00F34A07">
      <w:pPr>
        <w:rPr>
          <w:rFonts w:cs="Arial"/>
          <w:sz w:val="22"/>
          <w:szCs w:val="22"/>
        </w:rPr>
      </w:pPr>
    </w:p>
    <w:p w:rsidR="00F34A07" w:rsidRPr="00BD541B" w:rsidRDefault="00F34A07" w:rsidP="00F34A07">
      <w:pPr>
        <w:ind w:left="540" w:hanging="540"/>
        <w:rPr>
          <w:rFonts w:cs="Arial"/>
          <w:b/>
          <w:sz w:val="22"/>
          <w:szCs w:val="22"/>
        </w:rPr>
      </w:pPr>
      <w:r w:rsidRPr="00BD541B">
        <w:rPr>
          <w:rFonts w:cs="Arial"/>
          <w:b/>
          <w:sz w:val="22"/>
          <w:szCs w:val="22"/>
        </w:rPr>
        <w:t>RE:</w:t>
      </w:r>
      <w:r w:rsidRPr="00BD541B">
        <w:rPr>
          <w:rFonts w:cs="Arial"/>
          <w:b/>
          <w:sz w:val="22"/>
          <w:szCs w:val="22"/>
        </w:rPr>
        <w:tab/>
        <w:t>Case No. PU-</w:t>
      </w:r>
      <w:r w:rsidR="00BC24D1" w:rsidRPr="00BD541B">
        <w:rPr>
          <w:rFonts w:cs="Arial"/>
          <w:b/>
          <w:sz w:val="22"/>
          <w:szCs w:val="22"/>
        </w:rPr>
        <w:t>13</w:t>
      </w:r>
      <w:r w:rsidRPr="00BD541B">
        <w:rPr>
          <w:rFonts w:cs="Arial"/>
          <w:b/>
          <w:sz w:val="22"/>
          <w:szCs w:val="22"/>
        </w:rPr>
        <w:t>-</w:t>
      </w:r>
      <w:r w:rsidR="001B241C" w:rsidRPr="00BD541B">
        <w:rPr>
          <w:rFonts w:cs="Arial"/>
          <w:b/>
          <w:sz w:val="22"/>
          <w:szCs w:val="22"/>
        </w:rPr>
        <w:t>740</w:t>
      </w:r>
      <w:r w:rsidRPr="00BD541B">
        <w:rPr>
          <w:rFonts w:cs="Arial"/>
          <w:b/>
          <w:sz w:val="22"/>
          <w:szCs w:val="22"/>
        </w:rPr>
        <w:t>: Tesoro High Plains Pipeline, LLC</w:t>
      </w:r>
    </w:p>
    <w:p w:rsidR="00F34A07" w:rsidRPr="00BD541B" w:rsidRDefault="00F34A07" w:rsidP="00F34A07">
      <w:pPr>
        <w:ind w:left="540" w:hanging="540"/>
        <w:rPr>
          <w:rFonts w:cs="Arial"/>
          <w:b/>
          <w:sz w:val="22"/>
          <w:szCs w:val="22"/>
        </w:rPr>
      </w:pPr>
      <w:r w:rsidRPr="00BD541B">
        <w:rPr>
          <w:rFonts w:cs="Arial"/>
          <w:b/>
          <w:sz w:val="22"/>
          <w:szCs w:val="22"/>
        </w:rPr>
        <w:tab/>
      </w:r>
      <w:r w:rsidR="001B241C" w:rsidRPr="00BD541B">
        <w:rPr>
          <w:rFonts w:cs="Arial"/>
          <w:b/>
          <w:sz w:val="22"/>
          <w:szCs w:val="22"/>
        </w:rPr>
        <w:t>Keene#2 Crude Oil Storage Facility – McKenzie County</w:t>
      </w:r>
    </w:p>
    <w:p w:rsidR="00F34A07" w:rsidRPr="00BD541B" w:rsidRDefault="00F34A07" w:rsidP="00F34A07">
      <w:pPr>
        <w:ind w:left="540" w:hanging="540"/>
        <w:rPr>
          <w:rFonts w:cs="Arial"/>
          <w:b/>
          <w:sz w:val="22"/>
          <w:szCs w:val="22"/>
        </w:rPr>
      </w:pPr>
      <w:r w:rsidRPr="00BD541B">
        <w:rPr>
          <w:rFonts w:cs="Arial"/>
          <w:b/>
          <w:sz w:val="22"/>
          <w:szCs w:val="22"/>
        </w:rPr>
        <w:tab/>
        <w:t>Siting Exclusion Certification</w:t>
      </w:r>
    </w:p>
    <w:p w:rsidR="00F34A07" w:rsidRPr="00BD541B" w:rsidRDefault="00F34A07" w:rsidP="00F34A07">
      <w:pPr>
        <w:rPr>
          <w:rFonts w:cs="Arial"/>
          <w:sz w:val="22"/>
          <w:szCs w:val="22"/>
        </w:rPr>
      </w:pPr>
    </w:p>
    <w:p w:rsidR="00F34A07" w:rsidRPr="00BD541B" w:rsidRDefault="00F34A07" w:rsidP="00F34A07">
      <w:pPr>
        <w:autoSpaceDE w:val="0"/>
        <w:autoSpaceDN w:val="0"/>
        <w:adjustRightInd w:val="0"/>
        <w:rPr>
          <w:rFonts w:cs="Arial"/>
          <w:sz w:val="22"/>
          <w:szCs w:val="22"/>
        </w:rPr>
      </w:pPr>
      <w:r w:rsidRPr="00BD541B">
        <w:rPr>
          <w:rFonts w:cs="Arial"/>
          <w:sz w:val="22"/>
          <w:szCs w:val="22"/>
        </w:rPr>
        <w:t xml:space="preserve">Dear Mr. </w:t>
      </w:r>
      <w:r w:rsidR="001B241C" w:rsidRPr="00BD541B">
        <w:rPr>
          <w:rFonts w:cs="Arial"/>
          <w:sz w:val="22"/>
          <w:szCs w:val="22"/>
        </w:rPr>
        <w:t>Henderson</w:t>
      </w:r>
      <w:r w:rsidRPr="00BD541B">
        <w:rPr>
          <w:rFonts w:cs="Arial"/>
          <w:sz w:val="22"/>
          <w:szCs w:val="22"/>
        </w:rPr>
        <w:t xml:space="preserve">, </w:t>
      </w:r>
    </w:p>
    <w:p w:rsidR="00F34A07" w:rsidRPr="00BD541B" w:rsidRDefault="00F34A07" w:rsidP="00F34A07">
      <w:pPr>
        <w:autoSpaceDE w:val="0"/>
        <w:autoSpaceDN w:val="0"/>
        <w:adjustRightInd w:val="0"/>
        <w:rPr>
          <w:rFonts w:cs="Arial"/>
          <w:sz w:val="22"/>
          <w:szCs w:val="22"/>
        </w:rPr>
      </w:pPr>
    </w:p>
    <w:p w:rsidR="00F34A07" w:rsidRPr="00BD541B" w:rsidRDefault="00F34A07" w:rsidP="00F34A07">
      <w:pPr>
        <w:autoSpaceDE w:val="0"/>
        <w:autoSpaceDN w:val="0"/>
        <w:adjustRightInd w:val="0"/>
        <w:rPr>
          <w:rFonts w:cs="Arial"/>
          <w:sz w:val="22"/>
          <w:szCs w:val="22"/>
        </w:rPr>
      </w:pPr>
      <w:r w:rsidRPr="00BD541B">
        <w:rPr>
          <w:rFonts w:cs="Arial"/>
          <w:sz w:val="22"/>
          <w:szCs w:val="22"/>
        </w:rPr>
        <w:t xml:space="preserve">Thank you for your </w:t>
      </w:r>
      <w:r w:rsidR="001B241C" w:rsidRPr="00BD541B">
        <w:rPr>
          <w:rFonts w:cs="Arial"/>
          <w:sz w:val="22"/>
          <w:szCs w:val="22"/>
        </w:rPr>
        <w:t>August 12</w:t>
      </w:r>
      <w:r w:rsidR="00BC24D1" w:rsidRPr="00BD541B">
        <w:rPr>
          <w:rFonts w:cs="Arial"/>
          <w:sz w:val="22"/>
          <w:szCs w:val="22"/>
        </w:rPr>
        <w:t>, 2013</w:t>
      </w:r>
      <w:r w:rsidRPr="00BD541B">
        <w:rPr>
          <w:rFonts w:cs="Arial"/>
          <w:sz w:val="22"/>
          <w:szCs w:val="22"/>
        </w:rPr>
        <w:t xml:space="preserve"> </w:t>
      </w:r>
      <w:r w:rsidR="00825D63" w:rsidRPr="00BD541B">
        <w:rPr>
          <w:rFonts w:cs="Arial"/>
          <w:sz w:val="22"/>
          <w:szCs w:val="22"/>
        </w:rPr>
        <w:t xml:space="preserve">and August 16, 2013 </w:t>
      </w:r>
      <w:r w:rsidRPr="00BD541B">
        <w:rPr>
          <w:rFonts w:cs="Arial"/>
          <w:sz w:val="22"/>
          <w:szCs w:val="22"/>
        </w:rPr>
        <w:t>letter</w:t>
      </w:r>
      <w:r w:rsidR="00825D63" w:rsidRPr="00BD541B">
        <w:rPr>
          <w:rFonts w:cs="Arial"/>
          <w:sz w:val="22"/>
          <w:szCs w:val="22"/>
        </w:rPr>
        <w:t>s</w:t>
      </w:r>
      <w:r w:rsidRPr="00BD541B">
        <w:rPr>
          <w:rFonts w:cs="Arial"/>
          <w:sz w:val="22"/>
          <w:szCs w:val="22"/>
        </w:rPr>
        <w:t xml:space="preserve"> notifying the Commission that </w:t>
      </w:r>
      <w:r w:rsidRPr="00BD541B">
        <w:rPr>
          <w:rFonts w:cs="Arial"/>
          <w:bCs/>
          <w:sz w:val="22"/>
          <w:szCs w:val="22"/>
        </w:rPr>
        <w:t>Tesoro High Plains Pipeline Company LLC</w:t>
      </w:r>
      <w:r w:rsidRPr="00BD541B">
        <w:rPr>
          <w:rFonts w:cs="Arial"/>
          <w:sz w:val="22"/>
          <w:szCs w:val="22"/>
        </w:rPr>
        <w:t xml:space="preserve"> (“Tesoro”) intends to construct </w:t>
      </w:r>
      <w:r w:rsidR="00BC24D1" w:rsidRPr="00BD541B">
        <w:rPr>
          <w:rFonts w:cs="Arial"/>
          <w:sz w:val="22"/>
          <w:szCs w:val="22"/>
        </w:rPr>
        <w:t xml:space="preserve">certain facilities adjacent to its </w:t>
      </w:r>
      <w:r w:rsidR="001B241C" w:rsidRPr="00BD541B">
        <w:rPr>
          <w:rFonts w:cs="Arial"/>
          <w:sz w:val="22"/>
          <w:szCs w:val="22"/>
        </w:rPr>
        <w:t xml:space="preserve">existing </w:t>
      </w:r>
      <w:r w:rsidR="00BC24D1" w:rsidRPr="00BD541B">
        <w:rPr>
          <w:rFonts w:cs="Arial"/>
          <w:sz w:val="22"/>
          <w:szCs w:val="22"/>
        </w:rPr>
        <w:t xml:space="preserve">pipeline.  </w:t>
      </w:r>
      <w:r w:rsidRPr="00BD541B">
        <w:rPr>
          <w:rFonts w:cs="Arial"/>
          <w:sz w:val="22"/>
          <w:szCs w:val="22"/>
        </w:rPr>
        <w:t>You indicate that the existing pipeline has been in service since the 1950s, prior to codification of the North Dakota Energy Conversion and Tra</w:t>
      </w:r>
      <w:r w:rsidR="001B241C" w:rsidRPr="00BD541B">
        <w:rPr>
          <w:rFonts w:cs="Arial"/>
          <w:sz w:val="22"/>
          <w:szCs w:val="22"/>
        </w:rPr>
        <w:t>nsmission Facility Siting Act</w:t>
      </w:r>
      <w:r w:rsidR="00BC24D1" w:rsidRPr="00BD541B">
        <w:rPr>
          <w:rFonts w:cs="Arial"/>
          <w:sz w:val="22"/>
          <w:szCs w:val="22"/>
        </w:rPr>
        <w:t xml:space="preserve">.  </w:t>
      </w:r>
    </w:p>
    <w:p w:rsidR="00F34A07" w:rsidRPr="00BD541B" w:rsidRDefault="00F34A07" w:rsidP="00F34A07">
      <w:pPr>
        <w:autoSpaceDE w:val="0"/>
        <w:autoSpaceDN w:val="0"/>
        <w:adjustRightInd w:val="0"/>
        <w:rPr>
          <w:rFonts w:cs="Arial"/>
          <w:sz w:val="22"/>
          <w:szCs w:val="22"/>
        </w:rPr>
      </w:pPr>
    </w:p>
    <w:p w:rsidR="00F34A07" w:rsidRPr="00BD541B" w:rsidRDefault="00F34A07" w:rsidP="00F34A07">
      <w:pPr>
        <w:autoSpaceDE w:val="0"/>
        <w:autoSpaceDN w:val="0"/>
        <w:adjustRightInd w:val="0"/>
        <w:rPr>
          <w:rFonts w:cs="Arial"/>
          <w:sz w:val="22"/>
          <w:szCs w:val="22"/>
        </w:rPr>
      </w:pPr>
      <w:r w:rsidRPr="00BD541B">
        <w:rPr>
          <w:rFonts w:cs="Arial"/>
          <w:sz w:val="22"/>
          <w:szCs w:val="22"/>
        </w:rPr>
        <w:t xml:space="preserve">Under North Dakota Century Code Chapter 49-22-03, before conducting any activities within a width of 350 feet on either side of the centerline of a transmission facility constructed before April 9, 1975, the utility must certify in writing to the commission that the activities will not affect any known exclusion or avoidance area and the utility will comply with all applicable conditions and protections in siting laws and rules and Commission orders previously issued for any part of the facility. </w:t>
      </w:r>
    </w:p>
    <w:p w:rsidR="00F34A07" w:rsidRPr="00BD541B" w:rsidRDefault="00F34A07" w:rsidP="00F34A07">
      <w:pPr>
        <w:autoSpaceDE w:val="0"/>
        <w:autoSpaceDN w:val="0"/>
        <w:adjustRightInd w:val="0"/>
        <w:rPr>
          <w:rFonts w:cs="Arial"/>
          <w:sz w:val="22"/>
          <w:szCs w:val="22"/>
        </w:rPr>
      </w:pPr>
    </w:p>
    <w:p w:rsidR="00F34A07" w:rsidRPr="00BD541B" w:rsidRDefault="00F34A07" w:rsidP="00F34A07">
      <w:pPr>
        <w:autoSpaceDE w:val="0"/>
        <w:autoSpaceDN w:val="0"/>
        <w:adjustRightInd w:val="0"/>
        <w:rPr>
          <w:rFonts w:cs="Arial"/>
          <w:sz w:val="22"/>
          <w:szCs w:val="22"/>
        </w:rPr>
      </w:pPr>
      <w:r w:rsidRPr="00BD541B">
        <w:rPr>
          <w:rFonts w:cs="Arial"/>
          <w:sz w:val="22"/>
          <w:szCs w:val="22"/>
        </w:rPr>
        <w:t xml:space="preserve">This letter is to acknowledge that Tesoro filed a certification under North Dakota Century Code section 49-22-03(3) stating that (1) </w:t>
      </w:r>
      <w:r w:rsidR="00BC24D1" w:rsidRPr="00BD541B">
        <w:rPr>
          <w:rFonts w:cs="Arial"/>
          <w:sz w:val="22"/>
          <w:szCs w:val="22"/>
        </w:rPr>
        <w:t>the pipeline has been in service since the 1950s</w:t>
      </w:r>
      <w:r w:rsidR="00EC56FD" w:rsidRPr="00BD541B">
        <w:rPr>
          <w:rFonts w:cs="Arial"/>
          <w:sz w:val="22"/>
          <w:szCs w:val="22"/>
        </w:rPr>
        <w:t>;</w:t>
      </w:r>
      <w:r w:rsidR="00BC24D1" w:rsidRPr="00BD541B">
        <w:rPr>
          <w:rFonts w:cs="Arial"/>
          <w:sz w:val="22"/>
          <w:szCs w:val="22"/>
        </w:rPr>
        <w:t xml:space="preserve"> (2) the </w:t>
      </w:r>
      <w:r w:rsidR="001B241C" w:rsidRPr="00BD541B">
        <w:rPr>
          <w:rFonts w:cs="Arial"/>
          <w:sz w:val="22"/>
          <w:szCs w:val="22"/>
        </w:rPr>
        <w:t xml:space="preserve">construction activities for the project </w:t>
      </w:r>
      <w:r w:rsidR="00F3360A" w:rsidRPr="00BD541B">
        <w:rPr>
          <w:rFonts w:cs="Arial"/>
          <w:sz w:val="22"/>
          <w:szCs w:val="22"/>
        </w:rPr>
        <w:t xml:space="preserve">will </w:t>
      </w:r>
      <w:r w:rsidR="001B241C" w:rsidRPr="00BD541B">
        <w:rPr>
          <w:rFonts w:cs="Arial"/>
          <w:sz w:val="22"/>
          <w:szCs w:val="22"/>
        </w:rPr>
        <w:t>take place</w:t>
      </w:r>
      <w:r w:rsidR="00F3360A" w:rsidRPr="00BD541B">
        <w:rPr>
          <w:rFonts w:cs="Arial"/>
          <w:sz w:val="22"/>
          <w:szCs w:val="22"/>
        </w:rPr>
        <w:t xml:space="preserve"> within 350 feet of either side of the centerline of its existing pipeline</w:t>
      </w:r>
      <w:r w:rsidR="001B241C" w:rsidRPr="00BD541B">
        <w:rPr>
          <w:rFonts w:cs="Arial"/>
          <w:sz w:val="22"/>
          <w:szCs w:val="22"/>
        </w:rPr>
        <w:t xml:space="preserve"> and within the chain-link fenced area</w:t>
      </w:r>
      <w:r w:rsidR="00EC56FD" w:rsidRPr="00BD541B">
        <w:rPr>
          <w:rFonts w:cs="Arial"/>
          <w:sz w:val="22"/>
          <w:szCs w:val="22"/>
        </w:rPr>
        <w:t>;</w:t>
      </w:r>
      <w:r w:rsidR="00F3360A" w:rsidRPr="00BD541B">
        <w:rPr>
          <w:rFonts w:cs="Arial"/>
          <w:sz w:val="22"/>
          <w:szCs w:val="22"/>
        </w:rPr>
        <w:t xml:space="preserve"> (3) </w:t>
      </w:r>
      <w:r w:rsidR="001B241C" w:rsidRPr="00BD541B">
        <w:rPr>
          <w:rFonts w:cs="Arial"/>
          <w:sz w:val="22"/>
          <w:szCs w:val="22"/>
        </w:rPr>
        <w:t xml:space="preserve">the construction activity will not affect any known exclusion or avoidance area; </w:t>
      </w:r>
      <w:r w:rsidR="00EC56FD" w:rsidRPr="00BD541B">
        <w:rPr>
          <w:rFonts w:cs="Arial"/>
          <w:sz w:val="22"/>
          <w:szCs w:val="22"/>
        </w:rPr>
        <w:t xml:space="preserve">and (4) </w:t>
      </w:r>
      <w:r w:rsidRPr="00BD541B">
        <w:rPr>
          <w:rFonts w:cs="Arial"/>
          <w:sz w:val="22"/>
          <w:szCs w:val="22"/>
        </w:rPr>
        <w:t xml:space="preserve">Tesoro will comply with </w:t>
      </w:r>
      <w:r w:rsidR="0011134E" w:rsidRPr="00BD541B">
        <w:rPr>
          <w:rFonts w:cs="Arial"/>
          <w:sz w:val="22"/>
          <w:szCs w:val="22"/>
        </w:rPr>
        <w:t xml:space="preserve">reasonable requests of the North Dakota Public Service Commission in undertaking such construction activities, and will construct and operate the facility in accordance with any applicable conditions and protections in the Siting Act and </w:t>
      </w:r>
      <w:r w:rsidR="00825D63" w:rsidRPr="00BD541B">
        <w:rPr>
          <w:rFonts w:cs="Arial"/>
          <w:sz w:val="22"/>
          <w:szCs w:val="22"/>
        </w:rPr>
        <w:t xml:space="preserve">Public Service Commission </w:t>
      </w:r>
      <w:r w:rsidR="0011134E" w:rsidRPr="00BD541B">
        <w:rPr>
          <w:rFonts w:cs="Arial"/>
          <w:sz w:val="22"/>
          <w:szCs w:val="22"/>
        </w:rPr>
        <w:t xml:space="preserve">rules. </w:t>
      </w:r>
      <w:r w:rsidRPr="00BD541B">
        <w:rPr>
          <w:rFonts w:cs="Arial"/>
          <w:sz w:val="22"/>
          <w:szCs w:val="22"/>
        </w:rPr>
        <w:t xml:space="preserve"> </w:t>
      </w:r>
    </w:p>
    <w:p w:rsidR="00F34A07" w:rsidRPr="00BD541B" w:rsidRDefault="00F34A07" w:rsidP="00F34A07">
      <w:pPr>
        <w:autoSpaceDE w:val="0"/>
        <w:autoSpaceDN w:val="0"/>
        <w:adjustRightInd w:val="0"/>
        <w:rPr>
          <w:rFonts w:cs="Arial"/>
          <w:sz w:val="22"/>
          <w:szCs w:val="22"/>
        </w:rPr>
      </w:pPr>
    </w:p>
    <w:p w:rsidR="00F34A07" w:rsidRPr="00BD541B" w:rsidRDefault="00F34A07" w:rsidP="00F34A07">
      <w:pPr>
        <w:tabs>
          <w:tab w:val="left" w:pos="720"/>
          <w:tab w:val="left" w:pos="4320"/>
        </w:tabs>
        <w:rPr>
          <w:rFonts w:cs="Arial"/>
          <w:sz w:val="22"/>
          <w:szCs w:val="22"/>
        </w:rPr>
      </w:pPr>
    </w:p>
    <w:p w:rsidR="00F34A07" w:rsidRPr="00BD541B" w:rsidRDefault="00F34A07" w:rsidP="00F34A07">
      <w:pPr>
        <w:tabs>
          <w:tab w:val="left" w:pos="2880"/>
          <w:tab w:val="decimal" w:pos="3600"/>
        </w:tabs>
        <w:ind w:right="1224"/>
        <w:jc w:val="both"/>
        <w:rPr>
          <w:sz w:val="22"/>
          <w:szCs w:val="22"/>
        </w:rPr>
      </w:pPr>
      <w:r w:rsidRPr="00BD541B">
        <w:rPr>
          <w:sz w:val="22"/>
          <w:szCs w:val="22"/>
        </w:rPr>
        <w:tab/>
        <w:t>Best regards</w:t>
      </w:r>
      <w:bookmarkStart w:id="0" w:name="_GoBack"/>
      <w:bookmarkEnd w:id="0"/>
    </w:p>
    <w:p w:rsidR="00F34A07" w:rsidRPr="00BD541B" w:rsidRDefault="00F34A07" w:rsidP="00F34A07">
      <w:pPr>
        <w:tabs>
          <w:tab w:val="left" w:pos="3240"/>
          <w:tab w:val="left" w:pos="4320"/>
          <w:tab w:val="left" w:pos="4680"/>
          <w:tab w:val="decimal" w:pos="7344"/>
        </w:tabs>
        <w:rPr>
          <w:sz w:val="22"/>
          <w:szCs w:val="22"/>
        </w:rPr>
      </w:pPr>
    </w:p>
    <w:p w:rsidR="00F34A07" w:rsidRPr="00BD541B" w:rsidRDefault="00F34A07" w:rsidP="00F34A07">
      <w:pPr>
        <w:tabs>
          <w:tab w:val="left" w:pos="3240"/>
          <w:tab w:val="left" w:pos="4320"/>
          <w:tab w:val="left" w:pos="4680"/>
          <w:tab w:val="decimal" w:pos="7344"/>
        </w:tabs>
        <w:rPr>
          <w:sz w:val="22"/>
          <w:szCs w:val="22"/>
        </w:rPr>
      </w:pPr>
    </w:p>
    <w:p w:rsidR="00F34A07" w:rsidRPr="00BD541B" w:rsidRDefault="00F34A07" w:rsidP="00F34A07">
      <w:pPr>
        <w:tabs>
          <w:tab w:val="left" w:pos="2880"/>
          <w:tab w:val="decimal" w:pos="3600"/>
        </w:tabs>
        <w:ind w:right="1224"/>
        <w:jc w:val="both"/>
        <w:rPr>
          <w:rFonts w:cs="Arial"/>
          <w:sz w:val="22"/>
          <w:szCs w:val="22"/>
        </w:rPr>
      </w:pPr>
      <w:r w:rsidRPr="00BD541B">
        <w:rPr>
          <w:sz w:val="22"/>
          <w:szCs w:val="22"/>
        </w:rPr>
        <w:tab/>
      </w:r>
      <w:r w:rsidRPr="00BD541B">
        <w:rPr>
          <w:rFonts w:cs="Arial"/>
          <w:sz w:val="22"/>
          <w:szCs w:val="22"/>
        </w:rPr>
        <w:tab/>
        <w:t>Patrick Fahn</w:t>
      </w:r>
    </w:p>
    <w:p w:rsidR="00F34A07" w:rsidRPr="00BD541B" w:rsidRDefault="00F34A07" w:rsidP="00F34A07">
      <w:pPr>
        <w:tabs>
          <w:tab w:val="left" w:pos="2880"/>
          <w:tab w:val="decimal" w:pos="3600"/>
        </w:tabs>
        <w:ind w:right="450"/>
        <w:jc w:val="both"/>
        <w:rPr>
          <w:rFonts w:cs="Arial"/>
          <w:sz w:val="22"/>
          <w:szCs w:val="22"/>
        </w:rPr>
      </w:pPr>
      <w:r w:rsidRPr="00BD541B">
        <w:rPr>
          <w:rFonts w:cs="Arial"/>
          <w:sz w:val="22"/>
          <w:szCs w:val="22"/>
        </w:rPr>
        <w:tab/>
        <w:t>Director, Compliance and Competitive Markets Division</w:t>
      </w:r>
    </w:p>
    <w:p w:rsidR="00D7398F" w:rsidRDefault="00D7398F">
      <w:pPr>
        <w:rPr>
          <w:sz w:val="22"/>
          <w:szCs w:val="22"/>
        </w:rPr>
      </w:pPr>
    </w:p>
    <w:p w:rsidR="00077C5A" w:rsidRPr="00BD541B" w:rsidRDefault="00077C5A">
      <w:pPr>
        <w:rPr>
          <w:sz w:val="22"/>
          <w:szCs w:val="22"/>
        </w:rPr>
      </w:pPr>
      <w:proofErr w:type="gramStart"/>
      <w:r>
        <w:rPr>
          <w:sz w:val="22"/>
          <w:szCs w:val="22"/>
        </w:rPr>
        <w:t>c</w:t>
      </w:r>
      <w:proofErr w:type="gramEnd"/>
      <w:r>
        <w:rPr>
          <w:sz w:val="22"/>
          <w:szCs w:val="22"/>
        </w:rPr>
        <w:t>. Brian Bjella</w:t>
      </w:r>
    </w:p>
    <w:sectPr w:rsidR="00077C5A" w:rsidRPr="00BD541B" w:rsidSect="00F34A07">
      <w:pgSz w:w="12240" w:h="15840" w:code="1"/>
      <w:pgMar w:top="1440" w:right="1440" w:bottom="1440" w:left="1440" w:header="0" w:footer="0" w:gutter="0"/>
      <w:paperSrc w:first="273" w:other="273"/>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07"/>
    <w:rsid w:val="00077C5A"/>
    <w:rsid w:val="0011134E"/>
    <w:rsid w:val="001B241C"/>
    <w:rsid w:val="003762D5"/>
    <w:rsid w:val="00825D63"/>
    <w:rsid w:val="008E307E"/>
    <w:rsid w:val="00B03D78"/>
    <w:rsid w:val="00B324AF"/>
    <w:rsid w:val="00BC24D1"/>
    <w:rsid w:val="00BD541B"/>
    <w:rsid w:val="00D7398F"/>
    <w:rsid w:val="00EC56FD"/>
    <w:rsid w:val="00F3360A"/>
    <w:rsid w:val="00F3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0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0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Fahn</dc:creator>
  <cp:lastModifiedBy>Patrick Fahn</cp:lastModifiedBy>
  <cp:revision>8</cp:revision>
  <cp:lastPrinted>2013-08-28T13:43:00Z</cp:lastPrinted>
  <dcterms:created xsi:type="dcterms:W3CDTF">2013-08-15T18:32:00Z</dcterms:created>
  <dcterms:modified xsi:type="dcterms:W3CDTF">2013-08-28T13:45:00Z</dcterms:modified>
</cp:coreProperties>
</file>