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B68" w:rsidRPr="00B04FCA" w:rsidRDefault="00920B68">
      <w:pPr>
        <w:pStyle w:val="Title"/>
        <w:rPr>
          <w:sz w:val="22"/>
          <w:szCs w:val="22"/>
        </w:rPr>
      </w:pPr>
      <w:r w:rsidRPr="00B04FCA">
        <w:rPr>
          <w:sz w:val="22"/>
          <w:szCs w:val="22"/>
        </w:rPr>
        <w:t>STATE OF NORTH DAKOTA</w:t>
      </w:r>
    </w:p>
    <w:p w:rsidR="00920B68" w:rsidRPr="00B04FCA" w:rsidRDefault="00920B68">
      <w:pPr>
        <w:pStyle w:val="Title"/>
        <w:rPr>
          <w:sz w:val="22"/>
          <w:szCs w:val="22"/>
        </w:rPr>
      </w:pPr>
    </w:p>
    <w:p w:rsidR="00920B68" w:rsidRPr="00B04FCA" w:rsidRDefault="00920B68">
      <w:pPr>
        <w:jc w:val="center"/>
        <w:rPr>
          <w:b/>
          <w:sz w:val="22"/>
          <w:szCs w:val="22"/>
        </w:rPr>
      </w:pPr>
      <w:r w:rsidRPr="00B04FCA">
        <w:rPr>
          <w:b/>
          <w:sz w:val="22"/>
          <w:szCs w:val="22"/>
        </w:rPr>
        <w:t>PUBLIC SERVICE COMMISSION</w:t>
      </w:r>
    </w:p>
    <w:p w:rsidR="00920B68" w:rsidRPr="00B04FCA" w:rsidRDefault="00920B68">
      <w:pPr>
        <w:jc w:val="both"/>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554E6" w:rsidRPr="00B04FCA" w:rsidTr="009554E6">
        <w:tc>
          <w:tcPr>
            <w:tcW w:w="4788" w:type="dxa"/>
          </w:tcPr>
          <w:p w:rsidR="009554E6" w:rsidRPr="00B04FCA" w:rsidRDefault="003F123A" w:rsidP="009554E6">
            <w:pPr>
              <w:rPr>
                <w:b/>
                <w:sz w:val="22"/>
                <w:szCs w:val="22"/>
              </w:rPr>
            </w:pPr>
            <w:r w:rsidRPr="00B04FCA">
              <w:rPr>
                <w:b/>
                <w:sz w:val="22"/>
                <w:szCs w:val="22"/>
              </w:rPr>
              <w:t>Montana-Dakota Utilities Co., a Division of MDU Resources Group, Inc.</w:t>
            </w:r>
          </w:p>
          <w:p w:rsidR="009554E6" w:rsidRPr="00B04FCA" w:rsidRDefault="003F123A" w:rsidP="009554E6">
            <w:pPr>
              <w:rPr>
                <w:b/>
                <w:sz w:val="22"/>
                <w:szCs w:val="22"/>
              </w:rPr>
            </w:pPr>
            <w:r w:rsidRPr="00B04FCA">
              <w:rPr>
                <w:b/>
                <w:sz w:val="22"/>
                <w:szCs w:val="22"/>
              </w:rPr>
              <w:t>Natural Gas Service Rate Increase</w:t>
            </w:r>
          </w:p>
          <w:p w:rsidR="009554E6" w:rsidRPr="00B04FCA" w:rsidRDefault="009554E6" w:rsidP="009554E6">
            <w:pPr>
              <w:rPr>
                <w:b/>
                <w:sz w:val="22"/>
                <w:szCs w:val="22"/>
              </w:rPr>
            </w:pPr>
            <w:r w:rsidRPr="00B04FCA">
              <w:rPr>
                <w:b/>
                <w:sz w:val="22"/>
                <w:szCs w:val="22"/>
              </w:rPr>
              <w:t>Application</w:t>
            </w:r>
          </w:p>
        </w:tc>
        <w:tc>
          <w:tcPr>
            <w:tcW w:w="4788" w:type="dxa"/>
          </w:tcPr>
          <w:p w:rsidR="009554E6" w:rsidRPr="00B04FCA" w:rsidRDefault="0050192D" w:rsidP="009554E6">
            <w:pPr>
              <w:jc w:val="right"/>
              <w:rPr>
                <w:b/>
                <w:sz w:val="22"/>
                <w:szCs w:val="22"/>
              </w:rPr>
            </w:pPr>
            <w:r w:rsidRPr="00B04FCA">
              <w:rPr>
                <w:b/>
                <w:sz w:val="22"/>
                <w:szCs w:val="22"/>
              </w:rPr>
              <w:t xml:space="preserve"> Case No. </w:t>
            </w:r>
            <w:r w:rsidR="003F123A" w:rsidRPr="00B04FCA">
              <w:rPr>
                <w:b/>
                <w:sz w:val="22"/>
                <w:szCs w:val="22"/>
              </w:rPr>
              <w:t>PU-13-803</w:t>
            </w:r>
          </w:p>
        </w:tc>
      </w:tr>
    </w:tbl>
    <w:p w:rsidR="00D62173" w:rsidRPr="00B04FCA" w:rsidRDefault="00D62173" w:rsidP="00D62173">
      <w:pPr>
        <w:ind w:left="2880" w:firstLine="720"/>
        <w:rPr>
          <w:b/>
          <w:sz w:val="22"/>
          <w:szCs w:val="22"/>
        </w:rPr>
      </w:pPr>
    </w:p>
    <w:p w:rsidR="00920B68" w:rsidRPr="00B04FCA" w:rsidRDefault="00920B68">
      <w:pPr>
        <w:jc w:val="center"/>
        <w:rPr>
          <w:b/>
          <w:sz w:val="22"/>
          <w:szCs w:val="22"/>
        </w:rPr>
      </w:pPr>
      <w:r w:rsidRPr="00B04FCA">
        <w:rPr>
          <w:b/>
          <w:sz w:val="22"/>
          <w:szCs w:val="22"/>
        </w:rPr>
        <w:t xml:space="preserve">NOTICE OF </w:t>
      </w:r>
      <w:r w:rsidR="0048395C" w:rsidRPr="00B04FCA">
        <w:rPr>
          <w:b/>
          <w:sz w:val="22"/>
          <w:szCs w:val="22"/>
        </w:rPr>
        <w:t>HEARING</w:t>
      </w:r>
      <w:r w:rsidR="00041700" w:rsidRPr="00B04FCA">
        <w:rPr>
          <w:b/>
          <w:sz w:val="22"/>
          <w:szCs w:val="22"/>
        </w:rPr>
        <w:t xml:space="preserve"> ON SETTLEMENT</w:t>
      </w:r>
    </w:p>
    <w:p w:rsidR="00920B68" w:rsidRPr="00B04FCA" w:rsidRDefault="00920B68">
      <w:pPr>
        <w:jc w:val="center"/>
        <w:rPr>
          <w:b/>
          <w:sz w:val="22"/>
          <w:szCs w:val="22"/>
        </w:rPr>
      </w:pPr>
    </w:p>
    <w:p w:rsidR="00920B68" w:rsidRPr="00B04FCA" w:rsidRDefault="003F123A">
      <w:pPr>
        <w:jc w:val="center"/>
        <w:rPr>
          <w:b/>
          <w:sz w:val="22"/>
          <w:szCs w:val="22"/>
        </w:rPr>
      </w:pPr>
      <w:r w:rsidRPr="00B04FCA">
        <w:rPr>
          <w:b/>
          <w:sz w:val="22"/>
          <w:szCs w:val="22"/>
        </w:rPr>
        <w:t>October 2</w:t>
      </w:r>
      <w:r w:rsidR="001B08C6" w:rsidRPr="00B04FCA">
        <w:rPr>
          <w:b/>
          <w:sz w:val="22"/>
          <w:szCs w:val="22"/>
        </w:rPr>
        <w:t>4</w:t>
      </w:r>
      <w:r w:rsidR="00D62173" w:rsidRPr="00B04FCA">
        <w:rPr>
          <w:b/>
          <w:sz w:val="22"/>
          <w:szCs w:val="22"/>
        </w:rPr>
        <w:t>, 2013</w:t>
      </w:r>
    </w:p>
    <w:p w:rsidR="00920B68" w:rsidRPr="00B04FCA" w:rsidRDefault="00920B68">
      <w:pPr>
        <w:jc w:val="both"/>
        <w:rPr>
          <w:sz w:val="22"/>
          <w:szCs w:val="22"/>
        </w:rPr>
      </w:pPr>
    </w:p>
    <w:p w:rsidR="00621F24" w:rsidRPr="00B04FCA" w:rsidRDefault="00920B68">
      <w:pPr>
        <w:jc w:val="both"/>
        <w:rPr>
          <w:sz w:val="22"/>
          <w:szCs w:val="22"/>
        </w:rPr>
      </w:pPr>
      <w:r w:rsidRPr="00B04FCA">
        <w:rPr>
          <w:sz w:val="22"/>
          <w:szCs w:val="22"/>
        </w:rPr>
        <w:tab/>
        <w:t>On</w:t>
      </w:r>
      <w:r w:rsidR="003F123A" w:rsidRPr="00B04FCA">
        <w:rPr>
          <w:sz w:val="22"/>
          <w:szCs w:val="22"/>
        </w:rPr>
        <w:t xml:space="preserve"> September 18, 2013</w:t>
      </w:r>
      <w:r w:rsidR="00D04332" w:rsidRPr="00B04FCA">
        <w:rPr>
          <w:sz w:val="22"/>
          <w:szCs w:val="22"/>
        </w:rPr>
        <w:t xml:space="preserve">, </w:t>
      </w:r>
      <w:r w:rsidR="003F123A" w:rsidRPr="00B04FCA">
        <w:rPr>
          <w:sz w:val="22"/>
          <w:szCs w:val="22"/>
        </w:rPr>
        <w:t>Montana-Dakota Utilities Co., a Division of MDU Resources Group, Inc. (MDU)</w:t>
      </w:r>
      <w:r w:rsidRPr="00B04FCA">
        <w:rPr>
          <w:sz w:val="22"/>
          <w:szCs w:val="22"/>
        </w:rPr>
        <w:t xml:space="preserve"> filed an application to increase its rates for </w:t>
      </w:r>
      <w:r w:rsidR="003F123A" w:rsidRPr="00B04FCA">
        <w:rPr>
          <w:sz w:val="22"/>
          <w:szCs w:val="22"/>
        </w:rPr>
        <w:t>natural gas service</w:t>
      </w:r>
      <w:r w:rsidRPr="00B04FCA">
        <w:rPr>
          <w:sz w:val="22"/>
          <w:szCs w:val="22"/>
        </w:rPr>
        <w:t xml:space="preserve"> to provide additional </w:t>
      </w:r>
      <w:r w:rsidR="003F123A" w:rsidRPr="00B04FCA">
        <w:rPr>
          <w:sz w:val="22"/>
          <w:szCs w:val="22"/>
        </w:rPr>
        <w:t>2014</w:t>
      </w:r>
      <w:r w:rsidR="00521A59" w:rsidRPr="00B04FCA">
        <w:rPr>
          <w:sz w:val="22"/>
          <w:szCs w:val="22"/>
        </w:rPr>
        <w:t xml:space="preserve"> test year </w:t>
      </w:r>
      <w:r w:rsidRPr="00B04FCA">
        <w:rPr>
          <w:sz w:val="22"/>
          <w:szCs w:val="22"/>
        </w:rPr>
        <w:t>annual revenue of $</w:t>
      </w:r>
      <w:r w:rsidR="00C83DFE" w:rsidRPr="00B04FCA">
        <w:rPr>
          <w:sz w:val="22"/>
          <w:szCs w:val="22"/>
        </w:rPr>
        <w:t>6</w:t>
      </w:r>
      <w:r w:rsidR="00BF5CC0" w:rsidRPr="00B04FCA">
        <w:rPr>
          <w:sz w:val="22"/>
          <w:szCs w:val="22"/>
        </w:rPr>
        <w:t>,</w:t>
      </w:r>
      <w:r w:rsidR="003F123A" w:rsidRPr="00B04FCA">
        <w:rPr>
          <w:sz w:val="22"/>
          <w:szCs w:val="22"/>
        </w:rPr>
        <w:t>8</w:t>
      </w:r>
      <w:r w:rsidR="00C83DFE" w:rsidRPr="00B04FCA">
        <w:rPr>
          <w:sz w:val="22"/>
          <w:szCs w:val="22"/>
        </w:rPr>
        <w:t>00</w:t>
      </w:r>
      <w:r w:rsidR="00D04332" w:rsidRPr="00B04FCA">
        <w:rPr>
          <w:sz w:val="22"/>
          <w:szCs w:val="22"/>
        </w:rPr>
        <w:t>,000</w:t>
      </w:r>
      <w:r w:rsidRPr="00B04FCA">
        <w:rPr>
          <w:sz w:val="22"/>
          <w:szCs w:val="22"/>
        </w:rPr>
        <w:t xml:space="preserve"> or a </w:t>
      </w:r>
      <w:r w:rsidR="003F123A" w:rsidRPr="00B04FCA">
        <w:rPr>
          <w:sz w:val="22"/>
          <w:szCs w:val="22"/>
        </w:rPr>
        <w:t>6.4</w:t>
      </w:r>
      <w:r w:rsidRPr="00B04FCA">
        <w:rPr>
          <w:sz w:val="22"/>
          <w:szCs w:val="22"/>
        </w:rPr>
        <w:t>% increase over current rates</w:t>
      </w:r>
      <w:r w:rsidR="003F123A" w:rsidRPr="00B04FCA">
        <w:rPr>
          <w:sz w:val="22"/>
          <w:szCs w:val="22"/>
        </w:rPr>
        <w:t>.</w:t>
      </w:r>
      <w:r w:rsidR="00555D9E" w:rsidRPr="00B04FCA">
        <w:rPr>
          <w:sz w:val="22"/>
          <w:szCs w:val="22"/>
        </w:rPr>
        <w:t xml:space="preserve"> </w:t>
      </w:r>
    </w:p>
    <w:p w:rsidR="00621F24" w:rsidRPr="00B04FCA" w:rsidRDefault="00621F24">
      <w:pPr>
        <w:jc w:val="both"/>
        <w:rPr>
          <w:sz w:val="22"/>
          <w:szCs w:val="22"/>
        </w:rPr>
      </w:pPr>
    </w:p>
    <w:p w:rsidR="00BA08BD" w:rsidRPr="00B04FCA" w:rsidRDefault="007869F4" w:rsidP="002A35FF">
      <w:pPr>
        <w:ind w:firstLine="720"/>
        <w:jc w:val="both"/>
        <w:rPr>
          <w:sz w:val="22"/>
          <w:szCs w:val="22"/>
        </w:rPr>
      </w:pPr>
      <w:r w:rsidRPr="00B04FCA">
        <w:rPr>
          <w:sz w:val="22"/>
          <w:szCs w:val="22"/>
        </w:rPr>
        <w:t xml:space="preserve">On </w:t>
      </w:r>
      <w:r w:rsidR="000E2133" w:rsidRPr="00B04FCA">
        <w:rPr>
          <w:sz w:val="22"/>
          <w:szCs w:val="22"/>
        </w:rPr>
        <w:t>October 9</w:t>
      </w:r>
      <w:r w:rsidRPr="00B04FCA">
        <w:rPr>
          <w:sz w:val="22"/>
          <w:szCs w:val="22"/>
        </w:rPr>
        <w:t>, 2013</w:t>
      </w:r>
      <w:r w:rsidR="00BA08BD" w:rsidRPr="00B04FCA">
        <w:rPr>
          <w:sz w:val="22"/>
          <w:szCs w:val="22"/>
        </w:rPr>
        <w:t xml:space="preserve">, the Commission approved </w:t>
      </w:r>
      <w:r w:rsidR="000E2133" w:rsidRPr="00B04FCA">
        <w:rPr>
          <w:sz w:val="22"/>
          <w:szCs w:val="22"/>
        </w:rPr>
        <w:t>MDU</w:t>
      </w:r>
      <w:r w:rsidR="00BA08BD" w:rsidRPr="00B04FCA">
        <w:rPr>
          <w:sz w:val="22"/>
          <w:szCs w:val="22"/>
        </w:rPr>
        <w:t>’s request for an interim rate incr</w:t>
      </w:r>
      <w:r w:rsidR="000E2133" w:rsidRPr="00B04FCA">
        <w:rPr>
          <w:sz w:val="22"/>
          <w:szCs w:val="22"/>
        </w:rPr>
        <w:t>ease based on the projected 2014</w:t>
      </w:r>
      <w:r w:rsidR="00BA08BD" w:rsidRPr="00B04FCA">
        <w:rPr>
          <w:sz w:val="22"/>
          <w:szCs w:val="22"/>
        </w:rPr>
        <w:t xml:space="preserve"> increase request.</w:t>
      </w:r>
      <w:r w:rsidR="006C49C7" w:rsidRPr="00B04FCA">
        <w:rPr>
          <w:sz w:val="22"/>
          <w:szCs w:val="22"/>
        </w:rPr>
        <w:t xml:space="preserve">  </w:t>
      </w:r>
      <w:r w:rsidR="000E2133" w:rsidRPr="00B04FCA">
        <w:rPr>
          <w:sz w:val="22"/>
          <w:szCs w:val="22"/>
        </w:rPr>
        <w:t>The interim rate increase of $4,500,000, or 4.162</w:t>
      </w:r>
      <w:r w:rsidR="006C49C7" w:rsidRPr="00B04FCA">
        <w:rPr>
          <w:sz w:val="22"/>
          <w:szCs w:val="22"/>
        </w:rPr>
        <w:t xml:space="preserve">% over current rates, </w:t>
      </w:r>
      <w:r w:rsidR="007712E1" w:rsidRPr="00B04FCA">
        <w:rPr>
          <w:sz w:val="22"/>
          <w:szCs w:val="22"/>
        </w:rPr>
        <w:t>became</w:t>
      </w:r>
      <w:r w:rsidR="006C49C7" w:rsidRPr="00B04FCA">
        <w:rPr>
          <w:sz w:val="22"/>
          <w:szCs w:val="22"/>
        </w:rPr>
        <w:t xml:space="preserve"> effective for </w:t>
      </w:r>
      <w:r w:rsidR="000E2133" w:rsidRPr="00B04FCA">
        <w:rPr>
          <w:sz w:val="22"/>
          <w:szCs w:val="22"/>
        </w:rPr>
        <w:t>natural gas</w:t>
      </w:r>
      <w:r w:rsidR="006C49C7" w:rsidRPr="00B04FCA">
        <w:rPr>
          <w:sz w:val="22"/>
          <w:szCs w:val="22"/>
        </w:rPr>
        <w:t xml:space="preserve"> </w:t>
      </w:r>
      <w:r w:rsidRPr="00B04FCA">
        <w:rPr>
          <w:sz w:val="22"/>
          <w:szCs w:val="22"/>
        </w:rPr>
        <w:t xml:space="preserve">service on and after </w:t>
      </w:r>
      <w:r w:rsidR="000E2133" w:rsidRPr="00B04FCA">
        <w:rPr>
          <w:sz w:val="22"/>
          <w:szCs w:val="22"/>
        </w:rPr>
        <w:t>November 17</w:t>
      </w:r>
      <w:r w:rsidR="006C49C7" w:rsidRPr="00B04FCA">
        <w:rPr>
          <w:sz w:val="22"/>
          <w:szCs w:val="22"/>
        </w:rPr>
        <w:t>, 20</w:t>
      </w:r>
      <w:r w:rsidR="002E4032" w:rsidRPr="00B04FCA">
        <w:rPr>
          <w:sz w:val="22"/>
          <w:szCs w:val="22"/>
        </w:rPr>
        <w:t>1</w:t>
      </w:r>
      <w:r w:rsidRPr="00B04FCA">
        <w:rPr>
          <w:sz w:val="22"/>
          <w:szCs w:val="22"/>
        </w:rPr>
        <w:t>3</w:t>
      </w:r>
      <w:r w:rsidR="006C49C7" w:rsidRPr="00B04FCA">
        <w:rPr>
          <w:sz w:val="22"/>
          <w:szCs w:val="22"/>
        </w:rPr>
        <w:t xml:space="preserve">.  </w:t>
      </w:r>
      <w:r w:rsidR="000E2133" w:rsidRPr="00B04FCA">
        <w:rPr>
          <w:sz w:val="22"/>
          <w:szCs w:val="22"/>
        </w:rPr>
        <w:t>MDU</w:t>
      </w:r>
      <w:r w:rsidR="006C49C7" w:rsidRPr="00B04FCA">
        <w:rPr>
          <w:sz w:val="22"/>
          <w:szCs w:val="22"/>
        </w:rPr>
        <w:t xml:space="preserve"> is required to refund interim rate amounts in excess of final rates approved by the Commission, including interest. </w:t>
      </w:r>
    </w:p>
    <w:p w:rsidR="00621F24" w:rsidRPr="00B04FCA" w:rsidRDefault="00621F24">
      <w:pPr>
        <w:jc w:val="both"/>
        <w:rPr>
          <w:sz w:val="22"/>
          <w:szCs w:val="22"/>
        </w:rPr>
      </w:pPr>
    </w:p>
    <w:p w:rsidR="00852BD1" w:rsidRPr="00B04FCA" w:rsidRDefault="0048395C" w:rsidP="0048395C">
      <w:pPr>
        <w:ind w:firstLine="720"/>
        <w:jc w:val="both"/>
        <w:rPr>
          <w:sz w:val="22"/>
          <w:szCs w:val="22"/>
        </w:rPr>
      </w:pPr>
      <w:r w:rsidRPr="00B04FCA">
        <w:rPr>
          <w:sz w:val="22"/>
          <w:szCs w:val="22"/>
        </w:rPr>
        <w:t xml:space="preserve">On October 18, 2013, MDU and Commission Advocacy Staff entered into a Settlement Agreement which they assert will resolve the </w:t>
      </w:r>
      <w:r w:rsidR="00852BD1" w:rsidRPr="00B04FCA">
        <w:rPr>
          <w:sz w:val="22"/>
          <w:szCs w:val="22"/>
        </w:rPr>
        <w:t xml:space="preserve">expense, revenue and return </w:t>
      </w:r>
      <w:r w:rsidRPr="00B04FCA">
        <w:rPr>
          <w:sz w:val="22"/>
          <w:szCs w:val="22"/>
        </w:rPr>
        <w:t xml:space="preserve">issues in </w:t>
      </w:r>
      <w:r w:rsidR="00016AAF" w:rsidRPr="00B04FCA">
        <w:rPr>
          <w:sz w:val="22"/>
          <w:szCs w:val="22"/>
        </w:rPr>
        <w:t>this proceeding</w:t>
      </w:r>
      <w:r w:rsidR="00852BD1" w:rsidRPr="00B04FCA">
        <w:rPr>
          <w:sz w:val="22"/>
          <w:szCs w:val="22"/>
        </w:rPr>
        <w:t xml:space="preserve">.  The Settlement Agreement does not address or resolve outstanding rate design issues in this case and those issues specifically reserved by MDU and Commission Advocacy Staff for hearing or further negotiation. </w:t>
      </w:r>
    </w:p>
    <w:p w:rsidR="0048395C" w:rsidRPr="00B04FCA" w:rsidRDefault="0048395C" w:rsidP="0048395C">
      <w:pPr>
        <w:ind w:firstLine="720"/>
        <w:jc w:val="both"/>
        <w:rPr>
          <w:sz w:val="22"/>
          <w:szCs w:val="22"/>
          <w:highlight w:val="lightGray"/>
        </w:rPr>
      </w:pPr>
    </w:p>
    <w:p w:rsidR="00B04FCA" w:rsidRPr="00B04FCA" w:rsidRDefault="00B04FCA" w:rsidP="00B04FCA">
      <w:pPr>
        <w:pStyle w:val="BodyText"/>
        <w:spacing w:after="240"/>
        <w:ind w:firstLine="720"/>
        <w:jc w:val="both"/>
        <w:rPr>
          <w:sz w:val="22"/>
          <w:szCs w:val="22"/>
        </w:rPr>
      </w:pPr>
      <w:r w:rsidRPr="00B04FCA">
        <w:rPr>
          <w:bCs/>
          <w:sz w:val="22"/>
          <w:szCs w:val="22"/>
        </w:rPr>
        <w:t xml:space="preserve">A </w:t>
      </w:r>
      <w:r w:rsidRPr="00B04FCA">
        <w:rPr>
          <w:b/>
          <w:bCs/>
          <w:sz w:val="22"/>
          <w:szCs w:val="22"/>
        </w:rPr>
        <w:t>public hearing</w:t>
      </w:r>
      <w:r w:rsidRPr="00B04FCA">
        <w:rPr>
          <w:sz w:val="22"/>
          <w:szCs w:val="22"/>
        </w:rPr>
        <w:t xml:space="preserve"> on this matter will be </w:t>
      </w:r>
      <w:bookmarkStart w:id="0" w:name="_GoBack"/>
      <w:bookmarkEnd w:id="0"/>
      <w:r w:rsidRPr="00B04FCA">
        <w:rPr>
          <w:sz w:val="22"/>
          <w:szCs w:val="22"/>
        </w:rPr>
        <w:t xml:space="preserve">held commencing on </w:t>
      </w:r>
      <w:r w:rsidRPr="00B04FCA">
        <w:rPr>
          <w:b/>
          <w:sz w:val="22"/>
          <w:szCs w:val="22"/>
        </w:rPr>
        <w:t>December 12, 2013 at 8:00 a.m. CST</w:t>
      </w:r>
      <w:r w:rsidRPr="00B04FCA">
        <w:rPr>
          <w:b/>
          <w:bCs/>
          <w:sz w:val="22"/>
          <w:szCs w:val="22"/>
        </w:rPr>
        <w:t xml:space="preserve"> </w:t>
      </w:r>
      <w:r w:rsidRPr="00B04FCA">
        <w:rPr>
          <w:sz w:val="22"/>
          <w:szCs w:val="22"/>
        </w:rPr>
        <w:t xml:space="preserve">in the Commission Hearing Room, State Capitol, 12th Floor, </w:t>
      </w:r>
      <w:proofErr w:type="gramStart"/>
      <w:r w:rsidRPr="00B04FCA">
        <w:rPr>
          <w:sz w:val="22"/>
          <w:szCs w:val="22"/>
        </w:rPr>
        <w:t>Bismarck</w:t>
      </w:r>
      <w:proofErr w:type="gramEnd"/>
      <w:r w:rsidRPr="00B04FCA">
        <w:rPr>
          <w:sz w:val="22"/>
          <w:szCs w:val="22"/>
        </w:rPr>
        <w:t xml:space="preserve">, North Dakota 58505.  The issue to be considered is </w:t>
      </w:r>
      <w:r w:rsidR="00852BD1" w:rsidRPr="00B04FCA">
        <w:rPr>
          <w:sz w:val="22"/>
          <w:szCs w:val="22"/>
        </w:rPr>
        <w:t>whether the Settlement Agreement should be approved and adopted by the Commission for the resolution of the specific issues stated</w:t>
      </w:r>
      <w:r w:rsidR="00645D36" w:rsidRPr="00B04FCA">
        <w:rPr>
          <w:sz w:val="22"/>
          <w:szCs w:val="22"/>
        </w:rPr>
        <w:t xml:space="preserve"> in the Settlement Agreement</w:t>
      </w:r>
      <w:r w:rsidR="00852BD1" w:rsidRPr="00B04FCA">
        <w:rPr>
          <w:sz w:val="22"/>
          <w:szCs w:val="22"/>
        </w:rPr>
        <w:t xml:space="preserve">. </w:t>
      </w:r>
    </w:p>
    <w:p w:rsidR="00041700" w:rsidRPr="00B04FCA" w:rsidRDefault="00041700" w:rsidP="00041700">
      <w:pPr>
        <w:tabs>
          <w:tab w:val="left" w:pos="720"/>
        </w:tabs>
        <w:jc w:val="both"/>
        <w:rPr>
          <w:sz w:val="22"/>
          <w:szCs w:val="22"/>
        </w:rPr>
      </w:pPr>
      <w:r w:rsidRPr="00B04FCA">
        <w:rPr>
          <w:sz w:val="22"/>
          <w:szCs w:val="22"/>
        </w:rPr>
        <w:tab/>
      </w:r>
      <w:r w:rsidR="00C93FEE" w:rsidRPr="00B04FCA">
        <w:rPr>
          <w:sz w:val="22"/>
          <w:szCs w:val="22"/>
        </w:rPr>
        <w:t>F</w:t>
      </w:r>
      <w:r w:rsidR="00920B68" w:rsidRPr="00B04FCA">
        <w:rPr>
          <w:sz w:val="22"/>
          <w:szCs w:val="22"/>
        </w:rPr>
        <w:t xml:space="preserve">or more information contact the Public Service Commission, State Capitol, Bismarck, North Dakota 58505, 701-328-2400 </w:t>
      </w:r>
      <w:r w:rsidR="00AA2A61" w:rsidRPr="00B04FCA">
        <w:rPr>
          <w:sz w:val="22"/>
          <w:szCs w:val="22"/>
        </w:rPr>
        <w:t xml:space="preserve">or 877-245-6685 (toll free in North Dakota), </w:t>
      </w:r>
      <w:r w:rsidR="00920B68" w:rsidRPr="00B04FCA">
        <w:rPr>
          <w:sz w:val="22"/>
          <w:szCs w:val="22"/>
        </w:rPr>
        <w:t>or Relay North Dakota 1-800-366-6888 TTY.  If you require any auxiliary aids or services, such as readers, signers, or Braille materials, please notify</w:t>
      </w:r>
      <w:r w:rsidR="001E0221" w:rsidRPr="00B04FCA">
        <w:rPr>
          <w:sz w:val="22"/>
          <w:szCs w:val="22"/>
        </w:rPr>
        <w:t xml:space="preserve"> the Commission</w:t>
      </w:r>
      <w:r w:rsidR="00920B68" w:rsidRPr="00B04FCA">
        <w:rPr>
          <w:sz w:val="22"/>
          <w:szCs w:val="22"/>
        </w:rPr>
        <w:t xml:space="preserve"> at least 24 </w:t>
      </w:r>
      <w:r w:rsidRPr="00B04FCA">
        <w:rPr>
          <w:sz w:val="22"/>
          <w:szCs w:val="22"/>
        </w:rPr>
        <w:t>hours in advance.</w:t>
      </w:r>
    </w:p>
    <w:p w:rsidR="00B66F4A" w:rsidRPr="00B04FCA" w:rsidRDefault="00B66F4A">
      <w:pPr>
        <w:rPr>
          <w:b/>
          <w:sz w:val="22"/>
          <w:szCs w:val="22"/>
        </w:rPr>
      </w:pPr>
    </w:p>
    <w:p w:rsidR="00B66F4A" w:rsidRPr="00B04FCA" w:rsidRDefault="00B66F4A">
      <w:pPr>
        <w:rPr>
          <w:b/>
          <w:sz w:val="22"/>
          <w:szCs w:val="22"/>
        </w:rPr>
      </w:pPr>
    </w:p>
    <w:p w:rsidR="00920B68" w:rsidRPr="00B04FCA" w:rsidRDefault="00920B68">
      <w:pPr>
        <w:ind w:right="-720"/>
        <w:jc w:val="center"/>
        <w:rPr>
          <w:b/>
          <w:sz w:val="22"/>
          <w:szCs w:val="22"/>
        </w:rPr>
      </w:pPr>
      <w:r w:rsidRPr="00B04FCA">
        <w:rPr>
          <w:b/>
          <w:sz w:val="22"/>
          <w:szCs w:val="22"/>
        </w:rPr>
        <w:t>PUBLIC SERVICE COMMISSION</w:t>
      </w:r>
    </w:p>
    <w:p w:rsidR="00920B68" w:rsidRPr="00B04FCA" w:rsidRDefault="00920B68">
      <w:pPr>
        <w:tabs>
          <w:tab w:val="decimal" w:pos="3600"/>
          <w:tab w:val="decimal" w:pos="7344"/>
        </w:tabs>
        <w:rPr>
          <w:b/>
          <w:sz w:val="22"/>
          <w:szCs w:val="22"/>
        </w:rPr>
      </w:pPr>
    </w:p>
    <w:p w:rsidR="00920B68" w:rsidRPr="00B04FCA" w:rsidRDefault="00920B68">
      <w:pPr>
        <w:tabs>
          <w:tab w:val="decimal" w:pos="3600"/>
          <w:tab w:val="decimal" w:pos="7344"/>
        </w:tabs>
        <w:rPr>
          <w:b/>
          <w:sz w:val="22"/>
          <w:szCs w:val="22"/>
        </w:rPr>
      </w:pPr>
    </w:p>
    <w:p w:rsidR="00920B68" w:rsidRPr="00B04FCA" w:rsidRDefault="00920B68">
      <w:pPr>
        <w:tabs>
          <w:tab w:val="decimal" w:pos="3600"/>
          <w:tab w:val="decimal" w:pos="7344"/>
        </w:tabs>
        <w:rPr>
          <w:b/>
          <w:sz w:val="22"/>
          <w:szCs w:val="22"/>
        </w:rPr>
      </w:pPr>
    </w:p>
    <w:tbl>
      <w:tblPr>
        <w:tblW w:w="0" w:type="auto"/>
        <w:jc w:val="center"/>
        <w:tblLayout w:type="fixed"/>
        <w:tblLook w:val="0000" w:firstRow="0" w:lastRow="0" w:firstColumn="0" w:lastColumn="0" w:noHBand="0" w:noVBand="0"/>
      </w:tblPr>
      <w:tblGrid>
        <w:gridCol w:w="3192"/>
        <w:gridCol w:w="3192"/>
        <w:gridCol w:w="3192"/>
      </w:tblGrid>
      <w:tr w:rsidR="00920B68" w:rsidRPr="00B04FCA">
        <w:trPr>
          <w:jc w:val="center"/>
        </w:trPr>
        <w:tc>
          <w:tcPr>
            <w:tcW w:w="3192" w:type="dxa"/>
          </w:tcPr>
          <w:p w:rsidR="00920B68" w:rsidRPr="00B04FCA" w:rsidRDefault="00920B68">
            <w:pPr>
              <w:tabs>
                <w:tab w:val="decimal" w:pos="3600"/>
                <w:tab w:val="decimal" w:pos="7344"/>
              </w:tabs>
              <w:jc w:val="center"/>
              <w:rPr>
                <w:b/>
                <w:sz w:val="22"/>
                <w:szCs w:val="22"/>
              </w:rPr>
            </w:pPr>
            <w:r w:rsidRPr="00B04FCA">
              <w:rPr>
                <w:b/>
                <w:sz w:val="22"/>
                <w:szCs w:val="22"/>
              </w:rPr>
              <w:t>______________________</w:t>
            </w:r>
          </w:p>
        </w:tc>
        <w:tc>
          <w:tcPr>
            <w:tcW w:w="3192" w:type="dxa"/>
          </w:tcPr>
          <w:p w:rsidR="00920B68" w:rsidRPr="00B04FCA" w:rsidRDefault="00920B68">
            <w:pPr>
              <w:spacing w:line="240" w:lineRule="atLeast"/>
              <w:jc w:val="center"/>
              <w:rPr>
                <w:b/>
                <w:sz w:val="22"/>
                <w:szCs w:val="22"/>
              </w:rPr>
            </w:pPr>
            <w:r w:rsidRPr="00B04FCA">
              <w:rPr>
                <w:b/>
                <w:sz w:val="22"/>
                <w:szCs w:val="22"/>
              </w:rPr>
              <w:t>______________________</w:t>
            </w:r>
          </w:p>
        </w:tc>
        <w:tc>
          <w:tcPr>
            <w:tcW w:w="3192" w:type="dxa"/>
            <w:tcBorders>
              <w:left w:val="nil"/>
            </w:tcBorders>
          </w:tcPr>
          <w:p w:rsidR="00920B68" w:rsidRPr="00B04FCA" w:rsidRDefault="00920B68">
            <w:pPr>
              <w:spacing w:line="240" w:lineRule="atLeast"/>
              <w:jc w:val="center"/>
              <w:rPr>
                <w:b/>
                <w:sz w:val="22"/>
                <w:szCs w:val="22"/>
              </w:rPr>
            </w:pPr>
            <w:r w:rsidRPr="00B04FCA">
              <w:rPr>
                <w:b/>
                <w:sz w:val="22"/>
                <w:szCs w:val="22"/>
              </w:rPr>
              <w:t>______________________</w:t>
            </w:r>
          </w:p>
        </w:tc>
      </w:tr>
      <w:tr w:rsidR="00920B68" w:rsidRPr="00B04FCA">
        <w:trPr>
          <w:jc w:val="center"/>
        </w:trPr>
        <w:tc>
          <w:tcPr>
            <w:tcW w:w="3192" w:type="dxa"/>
          </w:tcPr>
          <w:p w:rsidR="00920B68" w:rsidRPr="00B04FCA" w:rsidRDefault="000C5931">
            <w:pPr>
              <w:spacing w:line="240" w:lineRule="atLeast"/>
              <w:jc w:val="center"/>
              <w:rPr>
                <w:b/>
                <w:sz w:val="22"/>
                <w:szCs w:val="22"/>
              </w:rPr>
            </w:pPr>
            <w:r w:rsidRPr="00B04FCA">
              <w:rPr>
                <w:b/>
                <w:sz w:val="22"/>
                <w:szCs w:val="22"/>
              </w:rPr>
              <w:t>Randy Christmann</w:t>
            </w:r>
          </w:p>
        </w:tc>
        <w:tc>
          <w:tcPr>
            <w:tcW w:w="3192" w:type="dxa"/>
          </w:tcPr>
          <w:p w:rsidR="00920B68" w:rsidRPr="00B04FCA" w:rsidRDefault="000C5931">
            <w:pPr>
              <w:spacing w:line="240" w:lineRule="atLeast"/>
              <w:jc w:val="center"/>
              <w:rPr>
                <w:b/>
                <w:sz w:val="22"/>
                <w:szCs w:val="22"/>
              </w:rPr>
            </w:pPr>
            <w:r w:rsidRPr="00B04FCA">
              <w:rPr>
                <w:b/>
                <w:sz w:val="22"/>
                <w:szCs w:val="22"/>
              </w:rPr>
              <w:t>Brian P. Kalk</w:t>
            </w:r>
          </w:p>
        </w:tc>
        <w:tc>
          <w:tcPr>
            <w:tcW w:w="3192" w:type="dxa"/>
            <w:tcBorders>
              <w:left w:val="nil"/>
            </w:tcBorders>
          </w:tcPr>
          <w:p w:rsidR="00920B68" w:rsidRPr="00B04FCA" w:rsidRDefault="000C5931">
            <w:pPr>
              <w:jc w:val="center"/>
              <w:rPr>
                <w:b/>
                <w:sz w:val="22"/>
                <w:szCs w:val="22"/>
              </w:rPr>
            </w:pPr>
            <w:r w:rsidRPr="00B04FCA">
              <w:rPr>
                <w:b/>
                <w:sz w:val="22"/>
                <w:szCs w:val="22"/>
              </w:rPr>
              <w:t>Julie Fedorchak</w:t>
            </w:r>
          </w:p>
        </w:tc>
      </w:tr>
      <w:tr w:rsidR="00920B68" w:rsidRPr="00B04FCA">
        <w:trPr>
          <w:jc w:val="center"/>
        </w:trPr>
        <w:tc>
          <w:tcPr>
            <w:tcW w:w="3192" w:type="dxa"/>
          </w:tcPr>
          <w:p w:rsidR="00920B68" w:rsidRPr="00B04FCA" w:rsidRDefault="00920B68">
            <w:pPr>
              <w:jc w:val="center"/>
              <w:rPr>
                <w:b/>
                <w:sz w:val="22"/>
                <w:szCs w:val="22"/>
              </w:rPr>
            </w:pPr>
            <w:r w:rsidRPr="00B04FCA">
              <w:rPr>
                <w:b/>
                <w:sz w:val="22"/>
                <w:szCs w:val="22"/>
              </w:rPr>
              <w:t>Commissioner</w:t>
            </w:r>
          </w:p>
        </w:tc>
        <w:tc>
          <w:tcPr>
            <w:tcW w:w="3192" w:type="dxa"/>
          </w:tcPr>
          <w:p w:rsidR="00920B68" w:rsidRPr="00B04FCA" w:rsidRDefault="001E0221">
            <w:pPr>
              <w:jc w:val="center"/>
              <w:rPr>
                <w:b/>
                <w:sz w:val="22"/>
                <w:szCs w:val="22"/>
              </w:rPr>
            </w:pPr>
            <w:r w:rsidRPr="00B04FCA">
              <w:rPr>
                <w:b/>
                <w:sz w:val="22"/>
                <w:szCs w:val="22"/>
              </w:rPr>
              <w:t>Chairman</w:t>
            </w:r>
          </w:p>
        </w:tc>
        <w:tc>
          <w:tcPr>
            <w:tcW w:w="3192" w:type="dxa"/>
          </w:tcPr>
          <w:p w:rsidR="00920B68" w:rsidRPr="00B04FCA" w:rsidRDefault="00920B68">
            <w:pPr>
              <w:jc w:val="center"/>
              <w:rPr>
                <w:b/>
                <w:sz w:val="22"/>
                <w:szCs w:val="22"/>
              </w:rPr>
            </w:pPr>
            <w:r w:rsidRPr="00B04FCA">
              <w:rPr>
                <w:b/>
                <w:sz w:val="22"/>
                <w:szCs w:val="22"/>
              </w:rPr>
              <w:t>Commissioner</w:t>
            </w:r>
          </w:p>
        </w:tc>
      </w:tr>
    </w:tbl>
    <w:p w:rsidR="00A379A4" w:rsidRPr="00B04FCA" w:rsidRDefault="00A379A4">
      <w:pPr>
        <w:pStyle w:val="Footer"/>
        <w:tabs>
          <w:tab w:val="clear" w:pos="4320"/>
          <w:tab w:val="clear" w:pos="8640"/>
        </w:tabs>
        <w:rPr>
          <w:i/>
          <w:sz w:val="22"/>
          <w:szCs w:val="22"/>
        </w:rPr>
      </w:pPr>
    </w:p>
    <w:sectPr w:rsidR="00A379A4" w:rsidRPr="00B04FCA" w:rsidSect="00B04FCA">
      <w:footerReference w:type="even" r:id="rId7"/>
      <w:footerReference w:type="default" r:id="rId8"/>
      <w:type w:val="continuous"/>
      <w:pgSz w:w="12240" w:h="15840" w:code="1"/>
      <w:pgMar w:top="1440" w:right="1440" w:bottom="187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23A" w:rsidRDefault="003F123A">
      <w:r>
        <w:separator/>
      </w:r>
    </w:p>
  </w:endnote>
  <w:endnote w:type="continuationSeparator" w:id="0">
    <w:p w:rsidR="003F123A" w:rsidRDefault="003F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23A" w:rsidRDefault="003F123A">
    <w:pPr>
      <w:pStyle w:val="Footer"/>
    </w:pPr>
  </w:p>
  <w:p w:rsidR="003F123A" w:rsidRDefault="003F123A">
    <w:pPr>
      <w:pStyle w:val="Footer"/>
      <w:rPr>
        <w:sz w:val="18"/>
      </w:rPr>
    </w:pPr>
    <w:r>
      <w:rPr>
        <w:sz w:val="18"/>
      </w:rPr>
      <w:t>Case No. PU-314-94-688</w:t>
    </w:r>
  </w:p>
  <w:p w:rsidR="003F123A" w:rsidRDefault="003F123A">
    <w:pPr>
      <w:pStyle w:val="Footer"/>
      <w:rPr>
        <w:sz w:val="18"/>
      </w:rPr>
    </w:pPr>
    <w:r>
      <w:rPr>
        <w:sz w:val="18"/>
      </w:rPr>
      <w:t>Order Granting Intervention</w:t>
    </w:r>
  </w:p>
  <w:p w:rsidR="003F123A" w:rsidRDefault="003F123A">
    <w:pPr>
      <w:pStyle w:val="Footer"/>
      <w:rPr>
        <w:sz w:val="18"/>
      </w:rPr>
    </w:pPr>
    <w:r>
      <w:rPr>
        <w:sz w:val="18"/>
      </w:rPr>
      <w:t>Page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23A" w:rsidRDefault="003F123A">
    <w:pPr>
      <w:pStyle w:val="Footer"/>
      <w:rPr>
        <w:sz w:val="20"/>
      </w:rPr>
    </w:pPr>
  </w:p>
  <w:p w:rsidR="003F123A" w:rsidRDefault="003F123A">
    <w:pPr>
      <w:pStyle w:val="Footer"/>
      <w:rPr>
        <w:sz w:val="18"/>
      </w:rPr>
    </w:pPr>
    <w:r>
      <w:rPr>
        <w:sz w:val="18"/>
      </w:rPr>
      <w:t xml:space="preserve">Notice of </w:t>
    </w:r>
    <w:r w:rsidR="00041700">
      <w:rPr>
        <w:sz w:val="18"/>
      </w:rPr>
      <w:t>Hearing on Settlement</w:t>
    </w:r>
  </w:p>
  <w:p w:rsidR="003F123A" w:rsidRDefault="003F123A">
    <w:pPr>
      <w:pStyle w:val="Footer"/>
      <w:rPr>
        <w:sz w:val="18"/>
      </w:rPr>
    </w:pPr>
    <w:r>
      <w:rPr>
        <w:sz w:val="18"/>
      </w:rPr>
      <w:t>Case No</w:t>
    </w:r>
    <w:r w:rsidR="000E2133">
      <w:rPr>
        <w:sz w:val="18"/>
      </w:rPr>
      <w:t>. PU-13-803</w:t>
    </w:r>
  </w:p>
  <w:p w:rsidR="003F123A" w:rsidRDefault="003F123A">
    <w:pPr>
      <w:pStyle w:val="Footer"/>
      <w:rPr>
        <w:sz w:val="20"/>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B04FCA">
      <w:rPr>
        <w:rStyle w:val="PageNumber"/>
        <w:noProof/>
        <w:sz w:val="18"/>
      </w:rPr>
      <w:t>2</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23A" w:rsidRDefault="003F123A">
      <w:r>
        <w:separator/>
      </w:r>
    </w:p>
  </w:footnote>
  <w:footnote w:type="continuationSeparator" w:id="0">
    <w:p w:rsidR="003F123A" w:rsidRDefault="003F1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EB"/>
    <w:rsid w:val="000051D0"/>
    <w:rsid w:val="00006FD5"/>
    <w:rsid w:val="00016AAF"/>
    <w:rsid w:val="00023030"/>
    <w:rsid w:val="00041700"/>
    <w:rsid w:val="000C2743"/>
    <w:rsid w:val="000C5931"/>
    <w:rsid w:val="000C6232"/>
    <w:rsid w:val="000D4A3B"/>
    <w:rsid w:val="000D7B82"/>
    <w:rsid w:val="000E2133"/>
    <w:rsid w:val="001B08C6"/>
    <w:rsid w:val="001D3C0B"/>
    <w:rsid w:val="001E0221"/>
    <w:rsid w:val="001E2B5A"/>
    <w:rsid w:val="00232DEB"/>
    <w:rsid w:val="00256B8C"/>
    <w:rsid w:val="002A35FF"/>
    <w:rsid w:val="002C599D"/>
    <w:rsid w:val="002D6013"/>
    <w:rsid w:val="002E31A6"/>
    <w:rsid w:val="002E4032"/>
    <w:rsid w:val="00342EDC"/>
    <w:rsid w:val="00363FD9"/>
    <w:rsid w:val="003751C8"/>
    <w:rsid w:val="003B25F9"/>
    <w:rsid w:val="003D3C65"/>
    <w:rsid w:val="003F123A"/>
    <w:rsid w:val="003F5237"/>
    <w:rsid w:val="00410A3F"/>
    <w:rsid w:val="00444F52"/>
    <w:rsid w:val="00460AD5"/>
    <w:rsid w:val="00460F77"/>
    <w:rsid w:val="00480A63"/>
    <w:rsid w:val="0048395C"/>
    <w:rsid w:val="004C6AEA"/>
    <w:rsid w:val="0050192D"/>
    <w:rsid w:val="00505F16"/>
    <w:rsid w:val="00521A59"/>
    <w:rsid w:val="0054358D"/>
    <w:rsid w:val="00555D9E"/>
    <w:rsid w:val="005E3314"/>
    <w:rsid w:val="005F5C59"/>
    <w:rsid w:val="00621F24"/>
    <w:rsid w:val="00645D36"/>
    <w:rsid w:val="0065305E"/>
    <w:rsid w:val="00665E30"/>
    <w:rsid w:val="00677A0C"/>
    <w:rsid w:val="006811A3"/>
    <w:rsid w:val="00687C3D"/>
    <w:rsid w:val="006C49C7"/>
    <w:rsid w:val="006D5561"/>
    <w:rsid w:val="006F1888"/>
    <w:rsid w:val="007076E3"/>
    <w:rsid w:val="007712E1"/>
    <w:rsid w:val="007869F4"/>
    <w:rsid w:val="00790771"/>
    <w:rsid w:val="00793FF1"/>
    <w:rsid w:val="007E708D"/>
    <w:rsid w:val="00852BD1"/>
    <w:rsid w:val="0086046A"/>
    <w:rsid w:val="008A612C"/>
    <w:rsid w:val="008D6DC9"/>
    <w:rsid w:val="00915279"/>
    <w:rsid w:val="00920B68"/>
    <w:rsid w:val="009276B0"/>
    <w:rsid w:val="009554E6"/>
    <w:rsid w:val="009C6395"/>
    <w:rsid w:val="00A379A4"/>
    <w:rsid w:val="00A40822"/>
    <w:rsid w:val="00AA2A61"/>
    <w:rsid w:val="00AB32EC"/>
    <w:rsid w:val="00AB74ED"/>
    <w:rsid w:val="00AE6A07"/>
    <w:rsid w:val="00AF3780"/>
    <w:rsid w:val="00B0285E"/>
    <w:rsid w:val="00B04FCA"/>
    <w:rsid w:val="00B33B92"/>
    <w:rsid w:val="00B41722"/>
    <w:rsid w:val="00B51599"/>
    <w:rsid w:val="00B66F4A"/>
    <w:rsid w:val="00B76A63"/>
    <w:rsid w:val="00B93AB0"/>
    <w:rsid w:val="00B9661A"/>
    <w:rsid w:val="00BA08BD"/>
    <w:rsid w:val="00BF2E4C"/>
    <w:rsid w:val="00BF5CC0"/>
    <w:rsid w:val="00C027F0"/>
    <w:rsid w:val="00C471A8"/>
    <w:rsid w:val="00C6057C"/>
    <w:rsid w:val="00C81D82"/>
    <w:rsid w:val="00C83747"/>
    <w:rsid w:val="00C83DFE"/>
    <w:rsid w:val="00C914F9"/>
    <w:rsid w:val="00C93FEE"/>
    <w:rsid w:val="00CC1A56"/>
    <w:rsid w:val="00CD1F37"/>
    <w:rsid w:val="00CE7AE6"/>
    <w:rsid w:val="00D04332"/>
    <w:rsid w:val="00D23B20"/>
    <w:rsid w:val="00D62173"/>
    <w:rsid w:val="00D7377B"/>
    <w:rsid w:val="00DB7F1E"/>
    <w:rsid w:val="00E134C5"/>
    <w:rsid w:val="00E3373D"/>
    <w:rsid w:val="00EA6B07"/>
    <w:rsid w:val="00EC363B"/>
    <w:rsid w:val="00EF006C"/>
    <w:rsid w:val="00F6084D"/>
    <w:rsid w:val="00F65D12"/>
    <w:rsid w:val="00F76F75"/>
    <w:rsid w:val="00F85935"/>
    <w:rsid w:val="00FB4C65"/>
    <w:rsid w:val="00FB7E63"/>
    <w:rsid w:val="00FD415C"/>
    <w:rsid w:val="00FE1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99D"/>
    <w:rPr>
      <w:rFonts w:ascii="Arial" w:hAnsi="Arial" w:cs="Arial"/>
      <w:sz w:val="24"/>
    </w:rPr>
  </w:style>
  <w:style w:type="paragraph" w:styleId="Heading1">
    <w:name w:val="heading 1"/>
    <w:basedOn w:val="Normal"/>
    <w:next w:val="Normal"/>
    <w:qFormat/>
    <w:rsid w:val="002C599D"/>
    <w:pPr>
      <w:keepNext/>
      <w:jc w:val="both"/>
      <w:outlineLvl w:val="0"/>
    </w:pPr>
    <w:rPr>
      <w:rFonts w:cs="Times New Roman"/>
    </w:rPr>
  </w:style>
  <w:style w:type="paragraph" w:styleId="Heading2">
    <w:name w:val="heading 2"/>
    <w:basedOn w:val="Normal"/>
    <w:next w:val="Normal"/>
    <w:qFormat/>
    <w:rsid w:val="002C599D"/>
    <w:pPr>
      <w:keepNext/>
      <w:outlineLvl w:val="1"/>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2C599D"/>
    <w:pPr>
      <w:tabs>
        <w:tab w:val="center" w:pos="4320"/>
        <w:tab w:val="right" w:pos="8640"/>
      </w:tabs>
    </w:pPr>
    <w:rPr>
      <w:rFonts w:cs="Times New Roman"/>
    </w:rPr>
  </w:style>
  <w:style w:type="paragraph" w:styleId="Title">
    <w:name w:val="Title"/>
    <w:basedOn w:val="Normal"/>
    <w:qFormat/>
    <w:rsid w:val="002C599D"/>
    <w:pPr>
      <w:jc w:val="center"/>
    </w:pPr>
    <w:rPr>
      <w:rFonts w:cs="Times New Roman"/>
      <w:b/>
      <w:sz w:val="28"/>
    </w:rPr>
  </w:style>
  <w:style w:type="paragraph" w:styleId="EnvelopeAddress">
    <w:name w:val="envelope address"/>
    <w:basedOn w:val="Normal"/>
    <w:semiHidden/>
    <w:rsid w:val="002C599D"/>
    <w:pPr>
      <w:framePr w:w="7920" w:h="1980" w:hRule="exact" w:hSpace="180" w:wrap="auto" w:hAnchor="page" w:xAlign="center" w:yAlign="bottom"/>
      <w:ind w:left="2880"/>
    </w:pPr>
    <w:rPr>
      <w:caps/>
      <w:szCs w:val="24"/>
    </w:rPr>
  </w:style>
  <w:style w:type="character" w:styleId="PageNumber">
    <w:name w:val="page number"/>
    <w:basedOn w:val="DefaultParagraphFont"/>
    <w:semiHidden/>
    <w:rsid w:val="002C599D"/>
  </w:style>
  <w:style w:type="paragraph" w:styleId="BodyTextIndent">
    <w:name w:val="Body Text Indent"/>
    <w:basedOn w:val="Normal"/>
    <w:semiHidden/>
    <w:rsid w:val="002C599D"/>
    <w:pPr>
      <w:ind w:left="720"/>
      <w:jc w:val="both"/>
    </w:pPr>
    <w:rPr>
      <w:rFonts w:cs="Times New Roman"/>
      <w:szCs w:val="24"/>
    </w:rPr>
  </w:style>
  <w:style w:type="paragraph" w:styleId="BlockText">
    <w:name w:val="Block Text"/>
    <w:basedOn w:val="Normal"/>
    <w:semiHidden/>
    <w:rsid w:val="002C599D"/>
    <w:pPr>
      <w:ind w:left="720" w:right="720"/>
      <w:jc w:val="both"/>
    </w:pPr>
    <w:rPr>
      <w:rFonts w:cs="Times New Roman"/>
      <w:szCs w:val="24"/>
    </w:rPr>
  </w:style>
  <w:style w:type="character" w:styleId="Hyperlink">
    <w:name w:val="Hyperlink"/>
    <w:basedOn w:val="DefaultParagraphFont"/>
    <w:rsid w:val="002C599D"/>
    <w:rPr>
      <w:color w:val="0000FF"/>
      <w:u w:val="single"/>
    </w:rPr>
  </w:style>
  <w:style w:type="paragraph" w:styleId="Header">
    <w:name w:val="header"/>
    <w:basedOn w:val="Normal"/>
    <w:semiHidden/>
    <w:rsid w:val="002C599D"/>
    <w:pPr>
      <w:tabs>
        <w:tab w:val="center" w:pos="4320"/>
        <w:tab w:val="right" w:pos="8640"/>
      </w:tabs>
    </w:pPr>
  </w:style>
  <w:style w:type="table" w:styleId="TableGrid">
    <w:name w:val="Table Grid"/>
    <w:basedOn w:val="TableNormal"/>
    <w:uiPriority w:val="59"/>
    <w:rsid w:val="009554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B04FCA"/>
    <w:pPr>
      <w:spacing w:after="120"/>
    </w:pPr>
  </w:style>
  <w:style w:type="character" w:customStyle="1" w:styleId="BodyTextChar">
    <w:name w:val="Body Text Char"/>
    <w:basedOn w:val="DefaultParagraphFont"/>
    <w:link w:val="BodyText"/>
    <w:uiPriority w:val="99"/>
    <w:rsid w:val="00B04FCA"/>
    <w:rPr>
      <w:rFonts w:ascii="Arial" w:hAnsi="Arial"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99D"/>
    <w:rPr>
      <w:rFonts w:ascii="Arial" w:hAnsi="Arial" w:cs="Arial"/>
      <w:sz w:val="24"/>
    </w:rPr>
  </w:style>
  <w:style w:type="paragraph" w:styleId="Heading1">
    <w:name w:val="heading 1"/>
    <w:basedOn w:val="Normal"/>
    <w:next w:val="Normal"/>
    <w:qFormat/>
    <w:rsid w:val="002C599D"/>
    <w:pPr>
      <w:keepNext/>
      <w:jc w:val="both"/>
      <w:outlineLvl w:val="0"/>
    </w:pPr>
    <w:rPr>
      <w:rFonts w:cs="Times New Roman"/>
    </w:rPr>
  </w:style>
  <w:style w:type="paragraph" w:styleId="Heading2">
    <w:name w:val="heading 2"/>
    <w:basedOn w:val="Normal"/>
    <w:next w:val="Normal"/>
    <w:qFormat/>
    <w:rsid w:val="002C599D"/>
    <w:pPr>
      <w:keepNext/>
      <w:outlineLvl w:val="1"/>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2C599D"/>
    <w:pPr>
      <w:tabs>
        <w:tab w:val="center" w:pos="4320"/>
        <w:tab w:val="right" w:pos="8640"/>
      </w:tabs>
    </w:pPr>
    <w:rPr>
      <w:rFonts w:cs="Times New Roman"/>
    </w:rPr>
  </w:style>
  <w:style w:type="paragraph" w:styleId="Title">
    <w:name w:val="Title"/>
    <w:basedOn w:val="Normal"/>
    <w:qFormat/>
    <w:rsid w:val="002C599D"/>
    <w:pPr>
      <w:jc w:val="center"/>
    </w:pPr>
    <w:rPr>
      <w:rFonts w:cs="Times New Roman"/>
      <w:b/>
      <w:sz w:val="28"/>
    </w:rPr>
  </w:style>
  <w:style w:type="paragraph" w:styleId="EnvelopeAddress">
    <w:name w:val="envelope address"/>
    <w:basedOn w:val="Normal"/>
    <w:semiHidden/>
    <w:rsid w:val="002C599D"/>
    <w:pPr>
      <w:framePr w:w="7920" w:h="1980" w:hRule="exact" w:hSpace="180" w:wrap="auto" w:hAnchor="page" w:xAlign="center" w:yAlign="bottom"/>
      <w:ind w:left="2880"/>
    </w:pPr>
    <w:rPr>
      <w:caps/>
      <w:szCs w:val="24"/>
    </w:rPr>
  </w:style>
  <w:style w:type="character" w:styleId="PageNumber">
    <w:name w:val="page number"/>
    <w:basedOn w:val="DefaultParagraphFont"/>
    <w:semiHidden/>
    <w:rsid w:val="002C599D"/>
  </w:style>
  <w:style w:type="paragraph" w:styleId="BodyTextIndent">
    <w:name w:val="Body Text Indent"/>
    <w:basedOn w:val="Normal"/>
    <w:semiHidden/>
    <w:rsid w:val="002C599D"/>
    <w:pPr>
      <w:ind w:left="720"/>
      <w:jc w:val="both"/>
    </w:pPr>
    <w:rPr>
      <w:rFonts w:cs="Times New Roman"/>
      <w:szCs w:val="24"/>
    </w:rPr>
  </w:style>
  <w:style w:type="paragraph" w:styleId="BlockText">
    <w:name w:val="Block Text"/>
    <w:basedOn w:val="Normal"/>
    <w:semiHidden/>
    <w:rsid w:val="002C599D"/>
    <w:pPr>
      <w:ind w:left="720" w:right="720"/>
      <w:jc w:val="both"/>
    </w:pPr>
    <w:rPr>
      <w:rFonts w:cs="Times New Roman"/>
      <w:szCs w:val="24"/>
    </w:rPr>
  </w:style>
  <w:style w:type="character" w:styleId="Hyperlink">
    <w:name w:val="Hyperlink"/>
    <w:basedOn w:val="DefaultParagraphFont"/>
    <w:rsid w:val="002C599D"/>
    <w:rPr>
      <w:color w:val="0000FF"/>
      <w:u w:val="single"/>
    </w:rPr>
  </w:style>
  <w:style w:type="paragraph" w:styleId="Header">
    <w:name w:val="header"/>
    <w:basedOn w:val="Normal"/>
    <w:semiHidden/>
    <w:rsid w:val="002C599D"/>
    <w:pPr>
      <w:tabs>
        <w:tab w:val="center" w:pos="4320"/>
        <w:tab w:val="right" w:pos="8640"/>
      </w:tabs>
    </w:pPr>
  </w:style>
  <w:style w:type="table" w:styleId="TableGrid">
    <w:name w:val="Table Grid"/>
    <w:basedOn w:val="TableNormal"/>
    <w:uiPriority w:val="59"/>
    <w:rsid w:val="009554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B04FCA"/>
    <w:pPr>
      <w:spacing w:after="120"/>
    </w:pPr>
  </w:style>
  <w:style w:type="character" w:customStyle="1" w:styleId="BodyTextChar">
    <w:name w:val="Body Text Char"/>
    <w:basedOn w:val="DefaultParagraphFont"/>
    <w:link w:val="BodyText"/>
    <w:uiPriority w:val="99"/>
    <w:rsid w:val="00B04FCA"/>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329</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STATE OF NORTH DAKOTA</vt:lpstr>
    </vt:vector>
  </TitlesOfParts>
  <Company>State of North Dakota</Company>
  <LinksUpToDate>false</LinksUpToDate>
  <CharactersWithSpaces>2225</CharactersWithSpaces>
  <SharedDoc>false</SharedDoc>
  <HLinks>
    <vt:vector size="18" baseType="variant">
      <vt:variant>
        <vt:i4>3145758</vt:i4>
      </vt:variant>
      <vt:variant>
        <vt:i4>6</vt:i4>
      </vt:variant>
      <vt:variant>
        <vt:i4>0</vt:i4>
      </vt:variant>
      <vt:variant>
        <vt:i4>5</vt:i4>
      </vt:variant>
      <vt:variant>
        <vt:lpwstr>mailto:ndpsc@nd.gov</vt:lpwstr>
      </vt:variant>
      <vt:variant>
        <vt:lpwstr/>
      </vt:variant>
      <vt:variant>
        <vt:i4>5832706</vt:i4>
      </vt:variant>
      <vt:variant>
        <vt:i4>3</vt:i4>
      </vt:variant>
      <vt:variant>
        <vt:i4>0</vt:i4>
      </vt:variant>
      <vt:variant>
        <vt:i4>5</vt:i4>
      </vt:variant>
      <vt:variant>
        <vt:lpwstr>http://www.ndivn.nodak.edu/web/streaming.asp</vt:lpwstr>
      </vt:variant>
      <vt:variant>
        <vt:lpwstr/>
      </vt:variant>
      <vt:variant>
        <vt:i4>5767253</vt:i4>
      </vt:variant>
      <vt:variant>
        <vt:i4>0</vt:i4>
      </vt:variant>
      <vt:variant>
        <vt:i4>0</vt:i4>
      </vt:variant>
      <vt:variant>
        <vt:i4>5</vt:i4>
      </vt:variant>
      <vt:variant>
        <vt:lpwstr>http://www.nd.gov/psc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DAKOTA</dc:title>
  <dc:creator>Sharon</dc:creator>
  <cp:lastModifiedBy>Patrick Fahn</cp:lastModifiedBy>
  <cp:revision>4</cp:revision>
  <cp:lastPrinted>2013-10-23T20:36:00Z</cp:lastPrinted>
  <dcterms:created xsi:type="dcterms:W3CDTF">2013-10-23T19:08:00Z</dcterms:created>
  <dcterms:modified xsi:type="dcterms:W3CDTF">2013-10-23T21:51:00Z</dcterms:modified>
</cp:coreProperties>
</file>