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8DAD" w14:textId="77777777" w:rsidR="00BB33A1" w:rsidRPr="0070192B" w:rsidRDefault="00BB33A1" w:rsidP="007C63A0">
      <w:pPr>
        <w:pStyle w:val="Title"/>
        <w:spacing w:after="120" w:line="240" w:lineRule="auto"/>
        <w:ind w:left="90" w:hanging="176"/>
        <w:rPr>
          <w:rFonts w:cs="Arial"/>
          <w:sz w:val="24"/>
          <w:szCs w:val="24"/>
        </w:rPr>
      </w:pPr>
      <w:r w:rsidRPr="0070192B">
        <w:rPr>
          <w:rFonts w:cs="Arial"/>
          <w:sz w:val="24"/>
          <w:szCs w:val="24"/>
        </w:rPr>
        <w:t>STATE OF NORTH DAKOTA</w:t>
      </w:r>
    </w:p>
    <w:p w14:paraId="0D8EDC66" w14:textId="77777777" w:rsidR="00BB33A1" w:rsidRPr="0070192B" w:rsidRDefault="00BB33A1" w:rsidP="00BB3C87">
      <w:pPr>
        <w:tabs>
          <w:tab w:val="left" w:pos="720"/>
          <w:tab w:val="left" w:pos="1584"/>
        </w:tabs>
        <w:jc w:val="center"/>
        <w:rPr>
          <w:rFonts w:cs="Arial"/>
          <w:b/>
        </w:rPr>
      </w:pPr>
      <w:r w:rsidRPr="0070192B">
        <w:rPr>
          <w:rFonts w:cs="Arial"/>
          <w:b/>
        </w:rPr>
        <w:t>PUBLIC SERVICE COMMISSION</w:t>
      </w:r>
    </w:p>
    <w:p w14:paraId="5EA36B8F" w14:textId="77777777" w:rsidR="00BC7D74" w:rsidRPr="0070192B" w:rsidRDefault="00BC7D74" w:rsidP="00BB3C87">
      <w:pPr>
        <w:tabs>
          <w:tab w:val="left" w:pos="720"/>
          <w:tab w:val="left" w:pos="1296"/>
          <w:tab w:val="left" w:pos="5904"/>
        </w:tabs>
        <w:jc w:val="center"/>
        <w:rPr>
          <w:rFonts w:cs="Arial"/>
          <w:b/>
        </w:rPr>
      </w:pPr>
    </w:p>
    <w:p w14:paraId="69DF398F" w14:textId="77777777" w:rsidR="005704A0" w:rsidRDefault="005704A0" w:rsidP="005704A0">
      <w:pPr>
        <w:tabs>
          <w:tab w:val="left" w:pos="7020"/>
        </w:tabs>
        <w:rPr>
          <w:b/>
        </w:rPr>
      </w:pPr>
      <w:r>
        <w:rPr>
          <w:b/>
        </w:rPr>
        <w:t>Northern States Power Company</w:t>
      </w:r>
      <w:r>
        <w:rPr>
          <w:b/>
        </w:rPr>
        <w:tab/>
        <w:t>Case No. PU-24-376</w:t>
      </w:r>
    </w:p>
    <w:p w14:paraId="33B0172A" w14:textId="77777777" w:rsidR="005704A0" w:rsidRDefault="005704A0" w:rsidP="005704A0">
      <w:pPr>
        <w:tabs>
          <w:tab w:val="left" w:pos="7020"/>
        </w:tabs>
        <w:rPr>
          <w:b/>
        </w:rPr>
      </w:pPr>
      <w:r>
        <w:rPr>
          <w:b/>
        </w:rPr>
        <w:t>2025 Electric Rate Increase</w:t>
      </w:r>
    </w:p>
    <w:p w14:paraId="05757589" w14:textId="77777777" w:rsidR="005704A0" w:rsidRDefault="005704A0" w:rsidP="005704A0">
      <w:pPr>
        <w:tabs>
          <w:tab w:val="left" w:pos="7020"/>
        </w:tabs>
        <w:rPr>
          <w:b/>
        </w:rPr>
      </w:pPr>
      <w:r>
        <w:rPr>
          <w:b/>
        </w:rPr>
        <w:t>Application</w:t>
      </w:r>
    </w:p>
    <w:p w14:paraId="7515D785" w14:textId="77777777" w:rsidR="009A4AC5" w:rsidRPr="0070192B" w:rsidRDefault="009A4AC5" w:rsidP="005A3CA5">
      <w:pPr>
        <w:tabs>
          <w:tab w:val="left" w:pos="720"/>
          <w:tab w:val="left" w:pos="1296"/>
          <w:tab w:val="left" w:pos="5904"/>
        </w:tabs>
        <w:spacing w:after="120"/>
        <w:jc w:val="center"/>
        <w:rPr>
          <w:rFonts w:cs="Arial"/>
          <w:b/>
        </w:rPr>
      </w:pPr>
    </w:p>
    <w:p w14:paraId="004E6560" w14:textId="031EB5E3" w:rsidR="00AF2713" w:rsidRPr="0070192B" w:rsidRDefault="00AC7C1F" w:rsidP="005A3CA5">
      <w:pPr>
        <w:tabs>
          <w:tab w:val="left" w:pos="720"/>
          <w:tab w:val="left" w:pos="1296"/>
          <w:tab w:val="left" w:pos="5904"/>
        </w:tabs>
        <w:spacing w:after="120"/>
        <w:jc w:val="center"/>
        <w:rPr>
          <w:rFonts w:cs="Arial"/>
          <w:b/>
        </w:rPr>
      </w:pPr>
      <w:r w:rsidRPr="0070192B">
        <w:rPr>
          <w:rFonts w:cs="Arial"/>
          <w:b/>
        </w:rPr>
        <w:t>NO</w:t>
      </w:r>
      <w:r w:rsidR="00821F65" w:rsidRPr="0070192B">
        <w:rPr>
          <w:rFonts w:cs="Arial"/>
          <w:b/>
        </w:rPr>
        <w:t>T</w:t>
      </w:r>
      <w:r w:rsidRPr="0070192B">
        <w:rPr>
          <w:rFonts w:cs="Arial"/>
          <w:b/>
        </w:rPr>
        <w:t xml:space="preserve">ICE OF </w:t>
      </w:r>
      <w:r w:rsidR="009A4AC5" w:rsidRPr="0070192B">
        <w:rPr>
          <w:rFonts w:cs="Arial"/>
          <w:b/>
        </w:rPr>
        <w:t xml:space="preserve">PUBLIC </w:t>
      </w:r>
      <w:r w:rsidRPr="0070192B">
        <w:rPr>
          <w:rFonts w:cs="Arial"/>
          <w:b/>
        </w:rPr>
        <w:t>HEARING</w:t>
      </w:r>
    </w:p>
    <w:p w14:paraId="72A415BF" w14:textId="77777777" w:rsidR="00F95941" w:rsidRPr="0070192B" w:rsidRDefault="00F95941" w:rsidP="00BB3C87">
      <w:pPr>
        <w:tabs>
          <w:tab w:val="left" w:pos="720"/>
          <w:tab w:val="left" w:pos="1296"/>
          <w:tab w:val="left" w:pos="5904"/>
        </w:tabs>
        <w:jc w:val="center"/>
        <w:rPr>
          <w:rFonts w:cs="Arial"/>
          <w:b/>
          <w:sz w:val="22"/>
          <w:szCs w:val="22"/>
        </w:rPr>
      </w:pPr>
    </w:p>
    <w:p w14:paraId="7346E230" w14:textId="668F02AE" w:rsidR="00AC7C1F" w:rsidRPr="0070192B" w:rsidRDefault="009A4AC5" w:rsidP="009A4AC5">
      <w:pPr>
        <w:ind w:firstLine="720"/>
        <w:jc w:val="both"/>
        <w:rPr>
          <w:rFonts w:cs="Arial"/>
        </w:rPr>
      </w:pPr>
      <w:r w:rsidRPr="00444AB7">
        <w:rPr>
          <w:rFonts w:cs="Arial"/>
        </w:rPr>
        <w:t xml:space="preserve">On </w:t>
      </w:r>
      <w:r w:rsidR="005704A0" w:rsidRPr="00444AB7">
        <w:rPr>
          <w:rFonts w:cs="Arial"/>
        </w:rPr>
        <w:t xml:space="preserve">December 2, 2024, Northern States Power Company (NSP), </w:t>
      </w:r>
      <w:r w:rsidRPr="00444AB7">
        <w:rPr>
          <w:rFonts w:cs="Arial"/>
        </w:rPr>
        <w:t xml:space="preserve">filed a Notice for Change in Rates for </w:t>
      </w:r>
      <w:r w:rsidR="005704A0" w:rsidRPr="00444AB7">
        <w:rPr>
          <w:rFonts w:cs="Arial"/>
        </w:rPr>
        <w:t>Electric</w:t>
      </w:r>
      <w:r w:rsidRPr="00444AB7">
        <w:rPr>
          <w:rFonts w:cs="Arial"/>
        </w:rPr>
        <w:t xml:space="preserve"> Service under North Dakota Century Code Section 49-05-05. </w:t>
      </w:r>
      <w:r w:rsidR="00E918FC" w:rsidRPr="00444AB7">
        <w:rPr>
          <w:rFonts w:cs="Arial"/>
        </w:rPr>
        <w:t>NS</w:t>
      </w:r>
      <w:r w:rsidRPr="00444AB7">
        <w:rPr>
          <w:rFonts w:cs="Arial"/>
        </w:rPr>
        <w:t>P proposes a $</w:t>
      </w:r>
      <w:r w:rsidR="00444AB7" w:rsidRPr="00444AB7">
        <w:rPr>
          <w:rFonts w:cs="Arial"/>
        </w:rPr>
        <w:t>44</w:t>
      </w:r>
      <w:r w:rsidR="002C3479" w:rsidRPr="00444AB7">
        <w:rPr>
          <w:rFonts w:cs="Arial"/>
        </w:rPr>
        <w:t>.</w:t>
      </w:r>
      <w:r w:rsidR="00444AB7" w:rsidRPr="00444AB7">
        <w:rPr>
          <w:rFonts w:cs="Arial"/>
        </w:rPr>
        <w:t>556</w:t>
      </w:r>
      <w:r w:rsidRPr="00444AB7">
        <w:rPr>
          <w:rFonts w:cs="Arial"/>
        </w:rPr>
        <w:t xml:space="preserve"> million or </w:t>
      </w:r>
      <w:r w:rsidR="00444AB7" w:rsidRPr="00444AB7">
        <w:rPr>
          <w:rFonts w:cs="Arial"/>
        </w:rPr>
        <w:t>19.34</w:t>
      </w:r>
      <w:r w:rsidRPr="00444AB7">
        <w:rPr>
          <w:rFonts w:cs="Arial"/>
        </w:rPr>
        <w:t xml:space="preserve">% increase in its annual North Dakota </w:t>
      </w:r>
      <w:r w:rsidR="005704A0" w:rsidRPr="00444AB7">
        <w:rPr>
          <w:rFonts w:cs="Arial"/>
        </w:rPr>
        <w:t>electric</w:t>
      </w:r>
      <w:r w:rsidRPr="00444AB7">
        <w:rPr>
          <w:rFonts w:cs="Arial"/>
        </w:rPr>
        <w:t xml:space="preserve"> revenues. The proposed rates would affect </w:t>
      </w:r>
      <w:r w:rsidR="00444AB7" w:rsidRPr="00444AB7">
        <w:rPr>
          <w:rFonts w:cs="Arial"/>
        </w:rPr>
        <w:t>NSP</w:t>
      </w:r>
      <w:r w:rsidRPr="00444AB7">
        <w:rPr>
          <w:rFonts w:cs="Arial"/>
        </w:rPr>
        <w:t xml:space="preserve">’s service to all of its retail </w:t>
      </w:r>
      <w:r w:rsidR="00444AB7" w:rsidRPr="00444AB7">
        <w:rPr>
          <w:rFonts w:cs="Arial"/>
        </w:rPr>
        <w:t>electric</w:t>
      </w:r>
      <w:r w:rsidRPr="00444AB7">
        <w:rPr>
          <w:rFonts w:cs="Arial"/>
        </w:rPr>
        <w:t xml:space="preserve"> customers in North Dakota. Interim rates subject to refund were approved on </w:t>
      </w:r>
      <w:r w:rsidR="00444AB7" w:rsidRPr="00444AB7">
        <w:rPr>
          <w:rFonts w:cs="Arial"/>
        </w:rPr>
        <w:t>January 8</w:t>
      </w:r>
      <w:r w:rsidRPr="00444AB7">
        <w:rPr>
          <w:rFonts w:cs="Arial"/>
        </w:rPr>
        <w:t>, 202</w:t>
      </w:r>
      <w:r w:rsidR="00444AB7" w:rsidRPr="00444AB7">
        <w:rPr>
          <w:rFonts w:cs="Arial"/>
        </w:rPr>
        <w:t>5</w:t>
      </w:r>
      <w:r w:rsidRPr="00444AB7">
        <w:rPr>
          <w:rFonts w:cs="Arial"/>
        </w:rPr>
        <w:t>.</w:t>
      </w:r>
      <w:r w:rsidRPr="0070192B">
        <w:rPr>
          <w:rFonts w:cs="Arial"/>
        </w:rPr>
        <w:t xml:space="preserve"> </w:t>
      </w:r>
    </w:p>
    <w:p w14:paraId="48B34DBA" w14:textId="77777777" w:rsidR="009A4AC5" w:rsidRPr="0070192B" w:rsidRDefault="009A4AC5" w:rsidP="00444AB7">
      <w:pPr>
        <w:jc w:val="both"/>
        <w:rPr>
          <w:rFonts w:cs="Arial"/>
        </w:rPr>
      </w:pPr>
    </w:p>
    <w:p w14:paraId="6B62FECC" w14:textId="45554614" w:rsidR="009A4AC5" w:rsidRPr="0070192B" w:rsidRDefault="009A4AC5" w:rsidP="009A4AC5">
      <w:pPr>
        <w:ind w:firstLine="720"/>
        <w:jc w:val="both"/>
        <w:rPr>
          <w:rFonts w:cs="Arial"/>
        </w:rPr>
      </w:pPr>
      <w:r w:rsidRPr="0070192B">
        <w:rPr>
          <w:rFonts w:cs="Arial"/>
        </w:rPr>
        <w:t xml:space="preserve">A </w:t>
      </w:r>
      <w:r w:rsidRPr="0070192B">
        <w:rPr>
          <w:rFonts w:cs="Arial"/>
          <w:b/>
          <w:bCs/>
        </w:rPr>
        <w:t>Public Hearing</w:t>
      </w:r>
      <w:r w:rsidRPr="0070192B">
        <w:rPr>
          <w:rFonts w:cs="Arial"/>
        </w:rPr>
        <w:t xml:space="preserve"> is scheduled to </w:t>
      </w:r>
      <w:r w:rsidRPr="00444AB7">
        <w:rPr>
          <w:rFonts w:cs="Arial"/>
        </w:rPr>
        <w:t xml:space="preserve">begin </w:t>
      </w:r>
      <w:r w:rsidR="00444AB7" w:rsidRPr="00444AB7">
        <w:rPr>
          <w:rFonts w:cs="Arial"/>
          <w:b/>
          <w:bCs/>
        </w:rPr>
        <w:t>December</w:t>
      </w:r>
      <w:r w:rsidRPr="00444AB7">
        <w:rPr>
          <w:rFonts w:cs="Arial"/>
          <w:b/>
          <w:bCs/>
        </w:rPr>
        <w:t xml:space="preserve"> </w:t>
      </w:r>
      <w:r w:rsidR="00444AB7" w:rsidRPr="00444AB7">
        <w:rPr>
          <w:rFonts w:cs="Arial"/>
          <w:b/>
          <w:bCs/>
        </w:rPr>
        <w:t>1</w:t>
      </w:r>
      <w:r w:rsidRPr="00444AB7">
        <w:rPr>
          <w:rFonts w:cs="Arial"/>
          <w:b/>
          <w:bCs/>
        </w:rPr>
        <w:t>, 202</w:t>
      </w:r>
      <w:r w:rsidR="00444AB7" w:rsidRPr="00444AB7">
        <w:rPr>
          <w:rFonts w:cs="Arial"/>
          <w:b/>
          <w:bCs/>
        </w:rPr>
        <w:t>5</w:t>
      </w:r>
      <w:r w:rsidR="00E756B2" w:rsidRPr="0070192B">
        <w:rPr>
          <w:rFonts w:cs="Arial"/>
          <w:b/>
          <w:bCs/>
        </w:rPr>
        <w:t>,</w:t>
      </w:r>
      <w:r w:rsidRPr="0070192B">
        <w:rPr>
          <w:rFonts w:cs="Arial"/>
          <w:b/>
          <w:bCs/>
        </w:rPr>
        <w:t xml:space="preserve"> at 8:30 a.m. Central Time</w:t>
      </w:r>
      <w:r w:rsidRPr="0070192B">
        <w:rPr>
          <w:rFonts w:cs="Arial"/>
        </w:rPr>
        <w:t xml:space="preserve"> in the Commission Hearing Room, State Capitol, 12</w:t>
      </w:r>
      <w:r w:rsidRPr="0070192B">
        <w:rPr>
          <w:rFonts w:cs="Arial"/>
          <w:vertAlign w:val="superscript"/>
        </w:rPr>
        <w:t>th</w:t>
      </w:r>
      <w:r w:rsidRPr="0070192B">
        <w:rPr>
          <w:rFonts w:cs="Arial"/>
        </w:rPr>
        <w:t xml:space="preserve"> Floor, Bismarck, North Dakota 58505.</w:t>
      </w:r>
    </w:p>
    <w:p w14:paraId="016038D6" w14:textId="77777777" w:rsidR="00AC7C1F" w:rsidRPr="0070192B" w:rsidRDefault="00AC7C1F" w:rsidP="00AC7C1F">
      <w:pPr>
        <w:ind w:firstLine="720"/>
        <w:jc w:val="both"/>
        <w:rPr>
          <w:rFonts w:cs="Arial"/>
        </w:rPr>
      </w:pPr>
    </w:p>
    <w:p w14:paraId="637124B5" w14:textId="1A76EDEE" w:rsidR="00AC7C1F" w:rsidRPr="0070192B" w:rsidRDefault="00AC7C1F" w:rsidP="00AC7C1F">
      <w:pPr>
        <w:ind w:firstLine="720"/>
        <w:jc w:val="both"/>
        <w:rPr>
          <w:rFonts w:cs="Arial"/>
        </w:rPr>
      </w:pPr>
      <w:r w:rsidRPr="0070192B">
        <w:rPr>
          <w:rFonts w:cs="Arial"/>
        </w:rPr>
        <w:t xml:space="preserve">The issues to be considered </w:t>
      </w:r>
      <w:r w:rsidR="00C951A0" w:rsidRPr="0070192B">
        <w:rPr>
          <w:rFonts w:cs="Arial"/>
        </w:rPr>
        <w:t xml:space="preserve">in this proceeding </w:t>
      </w:r>
      <w:r w:rsidRPr="0070192B">
        <w:rPr>
          <w:rFonts w:cs="Arial"/>
        </w:rPr>
        <w:t>are:</w:t>
      </w:r>
    </w:p>
    <w:p w14:paraId="069A3217" w14:textId="77777777" w:rsidR="00AC7C1F" w:rsidRPr="0070192B" w:rsidRDefault="00AC7C1F" w:rsidP="00AC7C1F">
      <w:pPr>
        <w:ind w:firstLine="720"/>
        <w:jc w:val="both"/>
        <w:rPr>
          <w:rFonts w:cs="Arial"/>
        </w:rPr>
      </w:pPr>
    </w:p>
    <w:p w14:paraId="46C8FC39" w14:textId="5EB92E0C" w:rsidR="00240148" w:rsidRPr="0070192B" w:rsidRDefault="009A4AC5" w:rsidP="009A4AC5">
      <w:pPr>
        <w:pStyle w:val="ListParagraph"/>
        <w:numPr>
          <w:ilvl w:val="0"/>
          <w:numId w:val="5"/>
        </w:numPr>
        <w:jc w:val="both"/>
      </w:pPr>
      <w:bookmarkStart w:id="0" w:name="_Hlk115265001"/>
      <w:bookmarkStart w:id="1" w:name="_Hlk114222023"/>
      <w:r w:rsidRPr="0070192B">
        <w:t xml:space="preserve">What is the value of </w:t>
      </w:r>
      <w:r w:rsidR="00444AB7">
        <w:t>NSP</w:t>
      </w:r>
      <w:r w:rsidRPr="0070192B">
        <w:t>’s property, used and useful, for the service and convenience of the public in North Dakota</w:t>
      </w:r>
      <w:r w:rsidR="00240148" w:rsidRPr="0070192B">
        <w:t>?</w:t>
      </w:r>
    </w:p>
    <w:bookmarkEnd w:id="0"/>
    <w:p w14:paraId="0D21A577" w14:textId="77777777" w:rsidR="00AC7C1F" w:rsidRPr="0070192B" w:rsidRDefault="00AC7C1F" w:rsidP="00AC7C1F">
      <w:pPr>
        <w:ind w:left="1080"/>
        <w:jc w:val="both"/>
        <w:rPr>
          <w:rFonts w:cs="Arial"/>
        </w:rPr>
      </w:pPr>
    </w:p>
    <w:p w14:paraId="402CAB99" w14:textId="0D5BBBB1" w:rsidR="00240148" w:rsidRPr="0070192B" w:rsidRDefault="009A4AC5" w:rsidP="009A4AC5">
      <w:pPr>
        <w:pStyle w:val="ListParagraph"/>
        <w:numPr>
          <w:ilvl w:val="0"/>
          <w:numId w:val="5"/>
        </w:numPr>
        <w:jc w:val="both"/>
      </w:pPr>
      <w:r w:rsidRPr="0070192B">
        <w:t xml:space="preserve">What is </w:t>
      </w:r>
      <w:r w:rsidR="00444AB7">
        <w:t>NSP</w:t>
      </w:r>
      <w:r w:rsidRPr="0070192B">
        <w:t>’s rate of return on its property, used and useful, for the service and convenience of</w:t>
      </w:r>
      <w:r w:rsidR="0026391F" w:rsidRPr="0070192B">
        <w:t xml:space="preserve"> the public in North Dakota?</w:t>
      </w:r>
    </w:p>
    <w:p w14:paraId="59A06E07" w14:textId="77777777" w:rsidR="00AC7C1F" w:rsidRPr="0070192B" w:rsidRDefault="00AC7C1F" w:rsidP="00AC7C1F">
      <w:pPr>
        <w:pStyle w:val="ListParagraph"/>
        <w:rPr>
          <w:rFonts w:cs="Arial"/>
        </w:rPr>
      </w:pPr>
    </w:p>
    <w:bookmarkEnd w:id="1"/>
    <w:p w14:paraId="68920F1D" w14:textId="2E162CC4" w:rsidR="00240148" w:rsidRPr="0070192B" w:rsidRDefault="0026391F" w:rsidP="0026391F">
      <w:pPr>
        <w:pStyle w:val="ListParagraph"/>
        <w:numPr>
          <w:ilvl w:val="0"/>
          <w:numId w:val="5"/>
        </w:numPr>
        <w:jc w:val="both"/>
      </w:pPr>
      <w:r w:rsidRPr="0070192B">
        <w:t xml:space="preserve">What is a just and reasonable rate of return on </w:t>
      </w:r>
      <w:r w:rsidR="00444AB7">
        <w:t>NSP</w:t>
      </w:r>
      <w:r w:rsidRPr="0070192B">
        <w:t>’s property, used and useful, for the service and convenience of the public in North Dakota?</w:t>
      </w:r>
    </w:p>
    <w:p w14:paraId="799BE5DA" w14:textId="77777777" w:rsidR="0026391F" w:rsidRPr="0070192B" w:rsidRDefault="0026391F" w:rsidP="0026391F">
      <w:pPr>
        <w:pStyle w:val="ListParagraph"/>
      </w:pPr>
    </w:p>
    <w:p w14:paraId="29533EC5" w14:textId="08BB84FB" w:rsidR="0026391F" w:rsidRPr="0070192B" w:rsidRDefault="0026391F" w:rsidP="0026391F">
      <w:pPr>
        <w:pStyle w:val="ListParagraph"/>
        <w:numPr>
          <w:ilvl w:val="0"/>
          <w:numId w:val="5"/>
        </w:numPr>
        <w:jc w:val="both"/>
      </w:pPr>
      <w:r w:rsidRPr="0070192B">
        <w:t xml:space="preserve">What rates and charges are necessary to provide a just and reasonable rate of return on </w:t>
      </w:r>
      <w:r w:rsidR="00444AB7">
        <w:t>NSP</w:t>
      </w:r>
      <w:r w:rsidRPr="0070192B">
        <w:t>’s property, used and useful, for the service and convenience of the public in North Dakota?</w:t>
      </w:r>
    </w:p>
    <w:p w14:paraId="730F7838" w14:textId="77777777" w:rsidR="0026391F" w:rsidRPr="0070192B" w:rsidRDefault="0026391F" w:rsidP="0026391F">
      <w:pPr>
        <w:pStyle w:val="ListParagraph"/>
      </w:pPr>
    </w:p>
    <w:p w14:paraId="14ED6A30" w14:textId="2C0BFBDB" w:rsidR="0026391F" w:rsidRPr="0070192B" w:rsidRDefault="0026391F" w:rsidP="0026391F">
      <w:pPr>
        <w:pStyle w:val="ListParagraph"/>
        <w:numPr>
          <w:ilvl w:val="0"/>
          <w:numId w:val="5"/>
        </w:numPr>
        <w:jc w:val="both"/>
      </w:pPr>
      <w:r w:rsidRPr="0070192B">
        <w:t xml:space="preserve">Are </w:t>
      </w:r>
      <w:r w:rsidR="00444AB7">
        <w:t>NSP</w:t>
      </w:r>
      <w:r w:rsidRPr="0070192B">
        <w:t>’s rate schedules designed in such a ma</w:t>
      </w:r>
      <w:r w:rsidR="0009666C" w:rsidRPr="0070192B">
        <w:t>n</w:t>
      </w:r>
      <w:r w:rsidRPr="0070192B">
        <w:t>ner that they result in a basis of charge to its customers that is just and reasonable without undue discrimination?</w:t>
      </w:r>
    </w:p>
    <w:p w14:paraId="3F9736CC" w14:textId="77777777" w:rsidR="00BD5621" w:rsidRPr="0070192B" w:rsidRDefault="00BD5621" w:rsidP="00BD5621">
      <w:pPr>
        <w:pStyle w:val="ListParagraph"/>
      </w:pPr>
    </w:p>
    <w:p w14:paraId="23BDFD6A" w14:textId="49E69424" w:rsidR="0026391F" w:rsidRPr="0070192B" w:rsidRDefault="0026391F" w:rsidP="0026391F">
      <w:pPr>
        <w:ind w:firstLine="720"/>
        <w:jc w:val="both"/>
      </w:pPr>
      <w:r w:rsidRPr="0070192B">
        <w:rPr>
          <w:b/>
          <w:bCs/>
        </w:rPr>
        <w:t>Petitions to Intervene</w:t>
      </w:r>
      <w:r w:rsidRPr="0070192B">
        <w:t xml:space="preserve"> are governed by North Dakota Administrative Code Section 69-02-02-05. However, the Commission encourages anyone wishing to become a party to this proceeding to file a Petition to Intervene as early in the process as possible to allow, if granted interven</w:t>
      </w:r>
      <w:r w:rsidR="000D561A" w:rsidRPr="0070192B">
        <w:t>o</w:t>
      </w:r>
      <w:r w:rsidRPr="0070192B">
        <w:t xml:space="preserve">r status, full participation in prehearing filings and other actions. Consequently, anyone wishing to become a party should file a Petition to Intervene </w:t>
      </w:r>
      <w:r w:rsidRPr="0070192B">
        <w:rPr>
          <w:b/>
          <w:bCs/>
        </w:rPr>
        <w:t xml:space="preserve">by </w:t>
      </w:r>
      <w:r w:rsidR="00444AB7" w:rsidRPr="00444AB7">
        <w:rPr>
          <w:b/>
          <w:bCs/>
        </w:rPr>
        <w:t xml:space="preserve">October </w:t>
      </w:r>
      <w:r w:rsidR="006949E4" w:rsidRPr="00444AB7">
        <w:rPr>
          <w:b/>
          <w:bCs/>
        </w:rPr>
        <w:t>1</w:t>
      </w:r>
      <w:r w:rsidR="00444AB7" w:rsidRPr="00444AB7">
        <w:rPr>
          <w:b/>
          <w:bCs/>
        </w:rPr>
        <w:t>5</w:t>
      </w:r>
      <w:r w:rsidRPr="00444AB7">
        <w:rPr>
          <w:b/>
          <w:bCs/>
        </w:rPr>
        <w:t>, 202</w:t>
      </w:r>
      <w:r w:rsidR="00444AB7" w:rsidRPr="00444AB7">
        <w:rPr>
          <w:b/>
          <w:bCs/>
        </w:rPr>
        <w:t>5</w:t>
      </w:r>
      <w:r w:rsidRPr="00444AB7">
        <w:rPr>
          <w:b/>
          <w:bCs/>
        </w:rPr>
        <w:t>.</w:t>
      </w:r>
      <w:r w:rsidRPr="0070192B">
        <w:t xml:space="preserve"> </w:t>
      </w:r>
    </w:p>
    <w:p w14:paraId="2756AEB3" w14:textId="77777777" w:rsidR="00A25E28" w:rsidRPr="0070192B" w:rsidRDefault="00A25E28" w:rsidP="004B2BC7">
      <w:pPr>
        <w:ind w:firstLine="720"/>
        <w:jc w:val="both"/>
        <w:rPr>
          <w:rFonts w:cs="Arial"/>
          <w:sz w:val="16"/>
          <w:szCs w:val="16"/>
        </w:rPr>
      </w:pPr>
    </w:p>
    <w:p w14:paraId="618793B0" w14:textId="3180CD65" w:rsidR="00152426" w:rsidRPr="0070192B" w:rsidRDefault="00C4698E" w:rsidP="00DB554F">
      <w:pPr>
        <w:ind w:firstLine="720"/>
        <w:jc w:val="both"/>
        <w:rPr>
          <w:rFonts w:cs="Arial"/>
        </w:rPr>
      </w:pPr>
      <w:r w:rsidRPr="0070192B">
        <w:rPr>
          <w:rFonts w:cs="Arial"/>
        </w:rPr>
        <w:lastRenderedPageBreak/>
        <w:t>For more information contact the Public Service Commission, State Capitol,</w:t>
      </w:r>
      <w:r w:rsidR="00226714" w:rsidRPr="0070192B">
        <w:rPr>
          <w:rFonts w:cs="Arial"/>
        </w:rPr>
        <w:t xml:space="preserve"> </w:t>
      </w:r>
      <w:r w:rsidRPr="0070192B">
        <w:rPr>
          <w:rFonts w:cs="Arial"/>
        </w:rPr>
        <w:t>Bismarck, North Dakota 58505, 701-328-2400; or Relay North Dakota</w:t>
      </w:r>
      <w:r w:rsidR="002F25E2" w:rsidRPr="0070192B">
        <w:rPr>
          <w:rFonts w:cs="Arial"/>
        </w:rPr>
        <w:t xml:space="preserve">, </w:t>
      </w:r>
      <w:r w:rsidRPr="0070192B">
        <w:rPr>
          <w:rFonts w:cs="Arial"/>
        </w:rPr>
        <w:t>1-800-366-6888</w:t>
      </w:r>
      <w:r w:rsidR="000364FC" w:rsidRPr="0070192B">
        <w:rPr>
          <w:rFonts w:cs="Arial"/>
        </w:rPr>
        <w:t xml:space="preserve"> </w:t>
      </w:r>
      <w:r w:rsidRPr="0070192B">
        <w:rPr>
          <w:rFonts w:cs="Arial"/>
        </w:rPr>
        <w:t xml:space="preserve">TTY.  If you require any auxiliary aids or services, such as readers, signers, or </w:t>
      </w:r>
      <w:r w:rsidR="003849C8" w:rsidRPr="0070192B">
        <w:rPr>
          <w:rFonts w:cs="Arial"/>
        </w:rPr>
        <w:t>B</w:t>
      </w:r>
      <w:r w:rsidRPr="0070192B">
        <w:rPr>
          <w:rFonts w:cs="Arial"/>
        </w:rPr>
        <w:t>raille</w:t>
      </w:r>
      <w:r w:rsidR="00226714" w:rsidRPr="0070192B">
        <w:rPr>
          <w:rFonts w:cs="Arial"/>
        </w:rPr>
        <w:t xml:space="preserve"> </w:t>
      </w:r>
      <w:r w:rsidR="00FF68AB" w:rsidRPr="0070192B">
        <w:rPr>
          <w:rFonts w:cs="Arial"/>
        </w:rPr>
        <w:t>m</w:t>
      </w:r>
      <w:r w:rsidRPr="0070192B">
        <w:rPr>
          <w:rFonts w:cs="Arial"/>
        </w:rPr>
        <w:t>aterials</w:t>
      </w:r>
      <w:r w:rsidR="00FF68AB" w:rsidRPr="0070192B">
        <w:rPr>
          <w:rFonts w:cs="Arial"/>
        </w:rPr>
        <w:t xml:space="preserve">, </w:t>
      </w:r>
      <w:r w:rsidRPr="0070192B">
        <w:rPr>
          <w:rFonts w:cs="Arial"/>
        </w:rPr>
        <w:t xml:space="preserve">please notify </w:t>
      </w:r>
      <w:r w:rsidR="00060763" w:rsidRPr="0070192B">
        <w:rPr>
          <w:rFonts w:cs="Arial"/>
        </w:rPr>
        <w:t>the Commission</w:t>
      </w:r>
      <w:r w:rsidR="00A376C6" w:rsidRPr="0070192B">
        <w:rPr>
          <w:rFonts w:cs="Arial"/>
        </w:rPr>
        <w:t xml:space="preserve"> at least 24 hours in advance</w:t>
      </w:r>
      <w:r w:rsidRPr="0070192B">
        <w:rPr>
          <w:rFonts w:cs="Arial"/>
        </w:rPr>
        <w:t>.</w:t>
      </w:r>
    </w:p>
    <w:p w14:paraId="6C22A776" w14:textId="77777777" w:rsidR="00240148" w:rsidRPr="0070192B" w:rsidRDefault="00240148" w:rsidP="000364FC">
      <w:pPr>
        <w:jc w:val="both"/>
        <w:rPr>
          <w:rFonts w:cs="Arial"/>
        </w:rPr>
      </w:pPr>
    </w:p>
    <w:p w14:paraId="52E5AC39" w14:textId="55D8438A" w:rsidR="00E470AE" w:rsidRPr="0070192B" w:rsidRDefault="00E470AE" w:rsidP="00E470AE">
      <w:pPr>
        <w:jc w:val="center"/>
        <w:rPr>
          <w:b/>
        </w:rPr>
      </w:pPr>
      <w:r w:rsidRPr="00444AB7">
        <w:rPr>
          <w:b/>
        </w:rPr>
        <w:t xml:space="preserve">Issued: </w:t>
      </w:r>
      <w:r w:rsidR="00340CC6">
        <w:rPr>
          <w:b/>
        </w:rPr>
        <w:t>August 7</w:t>
      </w:r>
      <w:r w:rsidR="00BD5621" w:rsidRPr="00444AB7">
        <w:rPr>
          <w:b/>
        </w:rPr>
        <w:t>, 202</w:t>
      </w:r>
      <w:r w:rsidR="00444AB7" w:rsidRPr="00444AB7">
        <w:rPr>
          <w:b/>
        </w:rPr>
        <w:t>5</w:t>
      </w:r>
    </w:p>
    <w:p w14:paraId="2939B0AA" w14:textId="77777777" w:rsidR="00BB3C87" w:rsidRPr="0070192B" w:rsidRDefault="00BB3C87" w:rsidP="00BB3C87">
      <w:pPr>
        <w:jc w:val="both"/>
        <w:rPr>
          <w:rFonts w:cs="Arial"/>
          <w:sz w:val="8"/>
          <w:szCs w:val="8"/>
        </w:rPr>
      </w:pPr>
    </w:p>
    <w:p w14:paraId="253B288D" w14:textId="77777777" w:rsidR="00BD2E97" w:rsidRPr="0070192B" w:rsidRDefault="00BD2E97" w:rsidP="00FB7637">
      <w:pPr>
        <w:tabs>
          <w:tab w:val="left" w:pos="720"/>
          <w:tab w:val="left" w:pos="1296"/>
          <w:tab w:val="left" w:pos="5904"/>
        </w:tabs>
        <w:jc w:val="center"/>
        <w:rPr>
          <w:rFonts w:cs="Arial"/>
          <w:b/>
        </w:rPr>
      </w:pPr>
      <w:r w:rsidRPr="0070192B">
        <w:rPr>
          <w:rFonts w:cs="Arial"/>
          <w:b/>
        </w:rPr>
        <w:t>PUBLIC SERVICE COMMISSION</w:t>
      </w:r>
    </w:p>
    <w:p w14:paraId="19A2FC64" w14:textId="05900491" w:rsidR="00BD2E97" w:rsidRPr="0070192B" w:rsidRDefault="00BD2E97" w:rsidP="00BB3C87">
      <w:pPr>
        <w:tabs>
          <w:tab w:val="decimal" w:pos="3600"/>
          <w:tab w:val="decimal" w:pos="7344"/>
        </w:tabs>
        <w:rPr>
          <w:rFonts w:cs="Arial"/>
          <w:b/>
        </w:rPr>
      </w:pPr>
    </w:p>
    <w:p w14:paraId="010BD14C" w14:textId="77777777" w:rsidR="00E470AE" w:rsidRPr="0070192B" w:rsidRDefault="00E470AE" w:rsidP="00BB3C87">
      <w:pPr>
        <w:tabs>
          <w:tab w:val="decimal" w:pos="3600"/>
          <w:tab w:val="decimal" w:pos="7344"/>
        </w:tabs>
        <w:rPr>
          <w:rFonts w:cs="Arial"/>
          <w:b/>
        </w:rPr>
      </w:pPr>
    </w:p>
    <w:p w14:paraId="1CB95967" w14:textId="77777777" w:rsidR="00260F2D" w:rsidRPr="0070192B" w:rsidRDefault="00260F2D" w:rsidP="00BB3C87">
      <w:pPr>
        <w:tabs>
          <w:tab w:val="decimal" w:pos="3600"/>
          <w:tab w:val="decimal" w:pos="7344"/>
        </w:tabs>
        <w:rPr>
          <w:rFonts w:cs="Arial"/>
          <w:b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3020"/>
        <w:gridCol w:w="3153"/>
        <w:gridCol w:w="3153"/>
      </w:tblGrid>
      <w:tr w:rsidR="00E470AE" w:rsidRPr="0070192B" w14:paraId="660CEE4F" w14:textId="77777777" w:rsidTr="00E470AE">
        <w:trPr>
          <w:trHeight w:val="274"/>
        </w:trPr>
        <w:tc>
          <w:tcPr>
            <w:tcW w:w="2920" w:type="dxa"/>
            <w:hideMark/>
          </w:tcPr>
          <w:p w14:paraId="3D9DE8BB" w14:textId="77777777" w:rsidR="00E470AE" w:rsidRPr="0070192B" w:rsidRDefault="00E470AE" w:rsidP="00687B74">
            <w:pPr>
              <w:spacing w:line="276" w:lineRule="auto"/>
              <w:jc w:val="both"/>
              <w:rPr>
                <w:b/>
              </w:rPr>
            </w:pPr>
            <w:bookmarkStart w:id="2" w:name="_Hlk113869576"/>
            <w:r w:rsidRPr="0070192B">
              <w:rPr>
                <w:b/>
              </w:rPr>
              <w:t>_____________________</w:t>
            </w:r>
          </w:p>
        </w:tc>
        <w:tc>
          <w:tcPr>
            <w:tcW w:w="3048" w:type="dxa"/>
            <w:hideMark/>
          </w:tcPr>
          <w:p w14:paraId="6DF634CF" w14:textId="77777777" w:rsidR="00E470AE" w:rsidRPr="0070192B" w:rsidRDefault="00E470AE" w:rsidP="00687B74">
            <w:pPr>
              <w:spacing w:line="276" w:lineRule="auto"/>
              <w:jc w:val="both"/>
              <w:rPr>
                <w:b/>
              </w:rPr>
            </w:pPr>
            <w:r w:rsidRPr="0070192B">
              <w:rPr>
                <w:b/>
              </w:rPr>
              <w:t>______________________</w:t>
            </w:r>
          </w:p>
        </w:tc>
        <w:tc>
          <w:tcPr>
            <w:tcW w:w="3048" w:type="dxa"/>
            <w:hideMark/>
          </w:tcPr>
          <w:p w14:paraId="1954D21A" w14:textId="77777777" w:rsidR="00E470AE" w:rsidRPr="0070192B" w:rsidRDefault="00E470AE" w:rsidP="00687B74">
            <w:pPr>
              <w:spacing w:line="276" w:lineRule="auto"/>
              <w:jc w:val="both"/>
              <w:rPr>
                <w:b/>
              </w:rPr>
            </w:pPr>
            <w:r w:rsidRPr="0070192B">
              <w:rPr>
                <w:b/>
              </w:rPr>
              <w:t>______________________</w:t>
            </w:r>
          </w:p>
        </w:tc>
      </w:tr>
      <w:tr w:rsidR="00E470AE" w:rsidRPr="0070192B" w14:paraId="03266576" w14:textId="77777777" w:rsidTr="00E470AE">
        <w:trPr>
          <w:trHeight w:val="274"/>
        </w:trPr>
        <w:tc>
          <w:tcPr>
            <w:tcW w:w="2920" w:type="dxa"/>
            <w:hideMark/>
          </w:tcPr>
          <w:p w14:paraId="191F35C0" w14:textId="66B811EB" w:rsidR="00E470AE" w:rsidRPr="0070192B" w:rsidRDefault="005060DA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Sheri Haugen-Hoffart</w:t>
            </w:r>
            <w:r w:rsidR="00E470AE" w:rsidRPr="0070192B">
              <w:rPr>
                <w:b/>
              </w:rPr>
              <w:t xml:space="preserve"> </w:t>
            </w:r>
          </w:p>
        </w:tc>
        <w:tc>
          <w:tcPr>
            <w:tcW w:w="3048" w:type="dxa"/>
            <w:hideMark/>
          </w:tcPr>
          <w:p w14:paraId="5D5DD38D" w14:textId="5AE0CFBB" w:rsidR="00E470AE" w:rsidRPr="0070192B" w:rsidRDefault="005060DA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Randy Christmann</w:t>
            </w:r>
          </w:p>
        </w:tc>
        <w:tc>
          <w:tcPr>
            <w:tcW w:w="3048" w:type="dxa"/>
            <w:hideMark/>
          </w:tcPr>
          <w:p w14:paraId="7389A907" w14:textId="2A6DE3E3" w:rsidR="00E470AE" w:rsidRPr="0070192B" w:rsidRDefault="005060DA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J</w:t>
            </w:r>
            <w:r w:rsidR="0070192B" w:rsidRPr="0070192B">
              <w:rPr>
                <w:b/>
              </w:rPr>
              <w:t>ill</w:t>
            </w:r>
            <w:r w:rsidRPr="0070192B">
              <w:rPr>
                <w:b/>
              </w:rPr>
              <w:t xml:space="preserve"> </w:t>
            </w:r>
            <w:r w:rsidR="0070192B" w:rsidRPr="0070192B">
              <w:rPr>
                <w:b/>
              </w:rPr>
              <w:t>Kringstad</w:t>
            </w:r>
          </w:p>
        </w:tc>
      </w:tr>
      <w:tr w:rsidR="00E470AE" w:rsidRPr="0070192B" w14:paraId="7192B47C" w14:textId="77777777" w:rsidTr="00E470AE">
        <w:trPr>
          <w:trHeight w:val="274"/>
        </w:trPr>
        <w:tc>
          <w:tcPr>
            <w:tcW w:w="2920" w:type="dxa"/>
            <w:hideMark/>
          </w:tcPr>
          <w:p w14:paraId="730F1357" w14:textId="77777777" w:rsidR="00E470AE" w:rsidRPr="0070192B" w:rsidRDefault="00E470AE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Commissioner</w:t>
            </w:r>
          </w:p>
        </w:tc>
        <w:tc>
          <w:tcPr>
            <w:tcW w:w="3048" w:type="dxa"/>
            <w:hideMark/>
          </w:tcPr>
          <w:p w14:paraId="2465E8A5" w14:textId="77777777" w:rsidR="00E470AE" w:rsidRPr="0070192B" w:rsidRDefault="00E470AE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Chair</w:t>
            </w:r>
          </w:p>
        </w:tc>
        <w:tc>
          <w:tcPr>
            <w:tcW w:w="3048" w:type="dxa"/>
            <w:hideMark/>
          </w:tcPr>
          <w:p w14:paraId="749ACC0B" w14:textId="77777777" w:rsidR="00E470AE" w:rsidRPr="0070192B" w:rsidRDefault="00E470AE" w:rsidP="00687B74">
            <w:pPr>
              <w:spacing w:line="276" w:lineRule="auto"/>
              <w:jc w:val="center"/>
              <w:rPr>
                <w:b/>
              </w:rPr>
            </w:pPr>
            <w:r w:rsidRPr="0070192B">
              <w:rPr>
                <w:b/>
              </w:rPr>
              <w:t>Commissioner</w:t>
            </w:r>
          </w:p>
        </w:tc>
      </w:tr>
      <w:bookmarkEnd w:id="2"/>
    </w:tbl>
    <w:p w14:paraId="101EC75F" w14:textId="77777777" w:rsidR="001469B2" w:rsidRPr="001469B2" w:rsidRDefault="001469B2" w:rsidP="0070192B">
      <w:pPr>
        <w:pStyle w:val="Footer"/>
        <w:tabs>
          <w:tab w:val="clear" w:pos="4320"/>
          <w:tab w:val="clear" w:pos="8640"/>
        </w:tabs>
        <w:spacing w:line="14" w:lineRule="auto"/>
        <w:rPr>
          <w:rFonts w:cs="Arial"/>
          <w:szCs w:val="24"/>
        </w:rPr>
      </w:pPr>
    </w:p>
    <w:sectPr w:rsidR="001469B2" w:rsidRPr="001469B2" w:rsidSect="00E470AE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156" w14:textId="77777777" w:rsidR="00DA1378" w:rsidRPr="0070192B" w:rsidRDefault="00DA1378">
      <w:r w:rsidRPr="0070192B">
        <w:separator/>
      </w:r>
    </w:p>
  </w:endnote>
  <w:endnote w:type="continuationSeparator" w:id="0">
    <w:p w14:paraId="260B6A06" w14:textId="77777777" w:rsidR="00DA1378" w:rsidRPr="0070192B" w:rsidRDefault="00DA1378">
      <w:r w:rsidRPr="00701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8ED3" w14:textId="04A08587" w:rsidR="00240148" w:rsidRPr="0070192B" w:rsidRDefault="00240148" w:rsidP="00240148">
    <w:pPr>
      <w:pStyle w:val="Footer"/>
      <w:rPr>
        <w:sz w:val="20"/>
      </w:rPr>
    </w:pPr>
    <w:r w:rsidRPr="0070192B">
      <w:rPr>
        <w:sz w:val="20"/>
      </w:rPr>
      <w:t>Case No</w:t>
    </w:r>
    <w:r w:rsidR="00444AB7">
      <w:rPr>
        <w:sz w:val="20"/>
      </w:rPr>
      <w:t>. PU-24-376</w:t>
    </w:r>
  </w:p>
  <w:p w14:paraId="7F6FEF18" w14:textId="1D2F36C1" w:rsidR="00240148" w:rsidRPr="0070192B" w:rsidRDefault="00240148" w:rsidP="00240148">
    <w:pPr>
      <w:pStyle w:val="Footer"/>
      <w:rPr>
        <w:sz w:val="20"/>
      </w:rPr>
    </w:pPr>
    <w:r w:rsidRPr="0070192B">
      <w:rPr>
        <w:sz w:val="20"/>
      </w:rPr>
      <w:t>Notice of Public Hearing</w:t>
    </w:r>
  </w:p>
  <w:p w14:paraId="54F3EBCC" w14:textId="10B9AEFE" w:rsidR="00240148" w:rsidRPr="0070192B" w:rsidRDefault="00240148">
    <w:pPr>
      <w:pStyle w:val="Footer"/>
      <w:rPr>
        <w:sz w:val="20"/>
      </w:rPr>
    </w:pPr>
    <w:r w:rsidRPr="0070192B">
      <w:rPr>
        <w:sz w:val="20"/>
      </w:rP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7289" w14:textId="77777777" w:rsidR="00DA1378" w:rsidRPr="0070192B" w:rsidRDefault="00DA1378">
      <w:r w:rsidRPr="0070192B">
        <w:separator/>
      </w:r>
    </w:p>
  </w:footnote>
  <w:footnote w:type="continuationSeparator" w:id="0">
    <w:p w14:paraId="7805FB93" w14:textId="77777777" w:rsidR="00DA1378" w:rsidRPr="0070192B" w:rsidRDefault="00DA1378">
      <w:r w:rsidRPr="007019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46E"/>
    <w:multiLevelType w:val="hybridMultilevel"/>
    <w:tmpl w:val="1142756C"/>
    <w:lvl w:ilvl="0" w:tplc="760C3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17BC"/>
    <w:multiLevelType w:val="hybridMultilevel"/>
    <w:tmpl w:val="E436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619D5"/>
    <w:multiLevelType w:val="hybridMultilevel"/>
    <w:tmpl w:val="9274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FE7783"/>
    <w:multiLevelType w:val="hybridMultilevel"/>
    <w:tmpl w:val="CFF44F0E"/>
    <w:lvl w:ilvl="0" w:tplc="DCB25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D07C34"/>
    <w:multiLevelType w:val="hybridMultilevel"/>
    <w:tmpl w:val="5AE46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C3F23"/>
    <w:multiLevelType w:val="hybridMultilevel"/>
    <w:tmpl w:val="55B221B4"/>
    <w:lvl w:ilvl="0" w:tplc="8B34D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2836583">
    <w:abstractNumId w:val="1"/>
  </w:num>
  <w:num w:numId="2" w16cid:durableId="2130777017">
    <w:abstractNumId w:val="4"/>
  </w:num>
  <w:num w:numId="3" w16cid:durableId="343829122">
    <w:abstractNumId w:val="0"/>
  </w:num>
  <w:num w:numId="4" w16cid:durableId="1749645737">
    <w:abstractNumId w:val="5"/>
  </w:num>
  <w:num w:numId="5" w16cid:durableId="2086879616">
    <w:abstractNumId w:val="3"/>
  </w:num>
  <w:num w:numId="6" w16cid:durableId="4646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78"/>
    <w:rsid w:val="00013014"/>
    <w:rsid w:val="00014BEB"/>
    <w:rsid w:val="000225D4"/>
    <w:rsid w:val="000238FD"/>
    <w:rsid w:val="00025A05"/>
    <w:rsid w:val="00031F7B"/>
    <w:rsid w:val="000364FC"/>
    <w:rsid w:val="000466DB"/>
    <w:rsid w:val="00051D4D"/>
    <w:rsid w:val="000522A6"/>
    <w:rsid w:val="00056CF6"/>
    <w:rsid w:val="00060763"/>
    <w:rsid w:val="0006079F"/>
    <w:rsid w:val="00063340"/>
    <w:rsid w:val="00065CED"/>
    <w:rsid w:val="00065DAB"/>
    <w:rsid w:val="000661B4"/>
    <w:rsid w:val="000721E5"/>
    <w:rsid w:val="000732C7"/>
    <w:rsid w:val="000761F2"/>
    <w:rsid w:val="000766CB"/>
    <w:rsid w:val="0008135C"/>
    <w:rsid w:val="00083028"/>
    <w:rsid w:val="00085063"/>
    <w:rsid w:val="00090F55"/>
    <w:rsid w:val="000921DF"/>
    <w:rsid w:val="000931E6"/>
    <w:rsid w:val="0009666C"/>
    <w:rsid w:val="000A31E4"/>
    <w:rsid w:val="000B5190"/>
    <w:rsid w:val="000C7DBE"/>
    <w:rsid w:val="000D12CE"/>
    <w:rsid w:val="000D561A"/>
    <w:rsid w:val="000E4F3B"/>
    <w:rsid w:val="000E7C36"/>
    <w:rsid w:val="000F3128"/>
    <w:rsid w:val="00100C8D"/>
    <w:rsid w:val="00100EF2"/>
    <w:rsid w:val="001216D9"/>
    <w:rsid w:val="001233A2"/>
    <w:rsid w:val="00124BE3"/>
    <w:rsid w:val="001265EF"/>
    <w:rsid w:val="00127BBF"/>
    <w:rsid w:val="00141490"/>
    <w:rsid w:val="0014196C"/>
    <w:rsid w:val="00146122"/>
    <w:rsid w:val="001469B2"/>
    <w:rsid w:val="00147524"/>
    <w:rsid w:val="00152426"/>
    <w:rsid w:val="00154970"/>
    <w:rsid w:val="00154F31"/>
    <w:rsid w:val="00162E21"/>
    <w:rsid w:val="00164523"/>
    <w:rsid w:val="00172FB8"/>
    <w:rsid w:val="00174088"/>
    <w:rsid w:val="001769D8"/>
    <w:rsid w:val="00181ADB"/>
    <w:rsid w:val="0018258A"/>
    <w:rsid w:val="00191D2E"/>
    <w:rsid w:val="00197A7D"/>
    <w:rsid w:val="001A4B75"/>
    <w:rsid w:val="001A528C"/>
    <w:rsid w:val="001A6C46"/>
    <w:rsid w:val="001A72A0"/>
    <w:rsid w:val="001B1074"/>
    <w:rsid w:val="001B146A"/>
    <w:rsid w:val="001B207D"/>
    <w:rsid w:val="001B5690"/>
    <w:rsid w:val="001C092C"/>
    <w:rsid w:val="001C1A7F"/>
    <w:rsid w:val="001D1992"/>
    <w:rsid w:val="001D3AD8"/>
    <w:rsid w:val="001E2062"/>
    <w:rsid w:val="001E2367"/>
    <w:rsid w:val="001E5E0A"/>
    <w:rsid w:val="001F3B35"/>
    <w:rsid w:val="00202492"/>
    <w:rsid w:val="002162B2"/>
    <w:rsid w:val="002177A5"/>
    <w:rsid w:val="00226714"/>
    <w:rsid w:val="00236E65"/>
    <w:rsid w:val="00237288"/>
    <w:rsid w:val="00240148"/>
    <w:rsid w:val="00240DF1"/>
    <w:rsid w:val="00247E81"/>
    <w:rsid w:val="00260F2D"/>
    <w:rsid w:val="0026142F"/>
    <w:rsid w:val="0026391F"/>
    <w:rsid w:val="00272E6C"/>
    <w:rsid w:val="00273EB3"/>
    <w:rsid w:val="00282A93"/>
    <w:rsid w:val="00284AB1"/>
    <w:rsid w:val="002907A5"/>
    <w:rsid w:val="002946E2"/>
    <w:rsid w:val="002968F7"/>
    <w:rsid w:val="002B2625"/>
    <w:rsid w:val="002B2DEC"/>
    <w:rsid w:val="002B7146"/>
    <w:rsid w:val="002C167C"/>
    <w:rsid w:val="002C3479"/>
    <w:rsid w:val="002C4DE3"/>
    <w:rsid w:val="002D0EAF"/>
    <w:rsid w:val="002D24B5"/>
    <w:rsid w:val="002D3436"/>
    <w:rsid w:val="002E1622"/>
    <w:rsid w:val="002E7578"/>
    <w:rsid w:val="002E7C09"/>
    <w:rsid w:val="002F25E2"/>
    <w:rsid w:val="00304703"/>
    <w:rsid w:val="003066F7"/>
    <w:rsid w:val="003073AD"/>
    <w:rsid w:val="00312F0C"/>
    <w:rsid w:val="003251BF"/>
    <w:rsid w:val="00326203"/>
    <w:rsid w:val="00332999"/>
    <w:rsid w:val="00332D6F"/>
    <w:rsid w:val="003400C9"/>
    <w:rsid w:val="00340A46"/>
    <w:rsid w:val="00340CC6"/>
    <w:rsid w:val="00347836"/>
    <w:rsid w:val="00364B8E"/>
    <w:rsid w:val="003667B0"/>
    <w:rsid w:val="003710AF"/>
    <w:rsid w:val="003760D2"/>
    <w:rsid w:val="003849C8"/>
    <w:rsid w:val="00391295"/>
    <w:rsid w:val="003913EF"/>
    <w:rsid w:val="00392CCF"/>
    <w:rsid w:val="003939E5"/>
    <w:rsid w:val="003959BB"/>
    <w:rsid w:val="003B02F7"/>
    <w:rsid w:val="003B1324"/>
    <w:rsid w:val="003B5168"/>
    <w:rsid w:val="003B56BD"/>
    <w:rsid w:val="003B72CE"/>
    <w:rsid w:val="003C303B"/>
    <w:rsid w:val="003C7010"/>
    <w:rsid w:val="003D10BF"/>
    <w:rsid w:val="003E097B"/>
    <w:rsid w:val="003E3697"/>
    <w:rsid w:val="003F2DA1"/>
    <w:rsid w:val="003F46C9"/>
    <w:rsid w:val="003F5E02"/>
    <w:rsid w:val="00400332"/>
    <w:rsid w:val="00403669"/>
    <w:rsid w:val="00407095"/>
    <w:rsid w:val="004163ED"/>
    <w:rsid w:val="00421CD4"/>
    <w:rsid w:val="00424BA2"/>
    <w:rsid w:val="0042757F"/>
    <w:rsid w:val="004278B1"/>
    <w:rsid w:val="00430A11"/>
    <w:rsid w:val="0043164A"/>
    <w:rsid w:val="00437471"/>
    <w:rsid w:val="0043773C"/>
    <w:rsid w:val="0044190D"/>
    <w:rsid w:val="00444AB7"/>
    <w:rsid w:val="0044711A"/>
    <w:rsid w:val="00465342"/>
    <w:rsid w:val="00473BA5"/>
    <w:rsid w:val="004758D7"/>
    <w:rsid w:val="0047600A"/>
    <w:rsid w:val="00485BC3"/>
    <w:rsid w:val="004970D6"/>
    <w:rsid w:val="004979D9"/>
    <w:rsid w:val="004A0219"/>
    <w:rsid w:val="004B2BC7"/>
    <w:rsid w:val="004B4BC1"/>
    <w:rsid w:val="004C66A1"/>
    <w:rsid w:val="004D28D9"/>
    <w:rsid w:val="004D638B"/>
    <w:rsid w:val="004D712C"/>
    <w:rsid w:val="004E46FF"/>
    <w:rsid w:val="004E7094"/>
    <w:rsid w:val="004F4577"/>
    <w:rsid w:val="004F7392"/>
    <w:rsid w:val="00501FBF"/>
    <w:rsid w:val="005060DA"/>
    <w:rsid w:val="00514A06"/>
    <w:rsid w:val="0052139B"/>
    <w:rsid w:val="00523B2C"/>
    <w:rsid w:val="00543319"/>
    <w:rsid w:val="0054695E"/>
    <w:rsid w:val="00552848"/>
    <w:rsid w:val="00554A7F"/>
    <w:rsid w:val="005550DD"/>
    <w:rsid w:val="00555BC0"/>
    <w:rsid w:val="005604F6"/>
    <w:rsid w:val="005609A9"/>
    <w:rsid w:val="00562673"/>
    <w:rsid w:val="00565C36"/>
    <w:rsid w:val="00567A1B"/>
    <w:rsid w:val="005704A0"/>
    <w:rsid w:val="0057747D"/>
    <w:rsid w:val="00577D03"/>
    <w:rsid w:val="005806DA"/>
    <w:rsid w:val="005840D5"/>
    <w:rsid w:val="005930F4"/>
    <w:rsid w:val="00596812"/>
    <w:rsid w:val="005A1CA5"/>
    <w:rsid w:val="005A22F6"/>
    <w:rsid w:val="005A37CF"/>
    <w:rsid w:val="005A3CA5"/>
    <w:rsid w:val="005A45FA"/>
    <w:rsid w:val="005A73C1"/>
    <w:rsid w:val="005B4512"/>
    <w:rsid w:val="005B703A"/>
    <w:rsid w:val="005C010E"/>
    <w:rsid w:val="005D6EB2"/>
    <w:rsid w:val="005E0DC5"/>
    <w:rsid w:val="005E3331"/>
    <w:rsid w:val="005E3588"/>
    <w:rsid w:val="005E4156"/>
    <w:rsid w:val="00607A27"/>
    <w:rsid w:val="00611050"/>
    <w:rsid w:val="006317AB"/>
    <w:rsid w:val="00643701"/>
    <w:rsid w:val="00644F90"/>
    <w:rsid w:val="00680EF6"/>
    <w:rsid w:val="00687B74"/>
    <w:rsid w:val="0069250E"/>
    <w:rsid w:val="00694148"/>
    <w:rsid w:val="006949E4"/>
    <w:rsid w:val="006A0F19"/>
    <w:rsid w:val="006A1195"/>
    <w:rsid w:val="006A3026"/>
    <w:rsid w:val="006A42D2"/>
    <w:rsid w:val="006B0854"/>
    <w:rsid w:val="006B313B"/>
    <w:rsid w:val="006B5510"/>
    <w:rsid w:val="006C19FE"/>
    <w:rsid w:val="006D3278"/>
    <w:rsid w:val="006D46EE"/>
    <w:rsid w:val="006D6C54"/>
    <w:rsid w:val="0070192B"/>
    <w:rsid w:val="00703893"/>
    <w:rsid w:val="007040AE"/>
    <w:rsid w:val="00712B5D"/>
    <w:rsid w:val="00713FD0"/>
    <w:rsid w:val="00722B4E"/>
    <w:rsid w:val="00730759"/>
    <w:rsid w:val="007318D7"/>
    <w:rsid w:val="007359C4"/>
    <w:rsid w:val="00737065"/>
    <w:rsid w:val="00737362"/>
    <w:rsid w:val="007468CF"/>
    <w:rsid w:val="0075329F"/>
    <w:rsid w:val="00753B6C"/>
    <w:rsid w:val="00766EFD"/>
    <w:rsid w:val="00771991"/>
    <w:rsid w:val="00771B71"/>
    <w:rsid w:val="00771B9A"/>
    <w:rsid w:val="007765A3"/>
    <w:rsid w:val="00783075"/>
    <w:rsid w:val="007836E0"/>
    <w:rsid w:val="00787055"/>
    <w:rsid w:val="00795654"/>
    <w:rsid w:val="007A5C9C"/>
    <w:rsid w:val="007A6668"/>
    <w:rsid w:val="007B17CF"/>
    <w:rsid w:val="007B4742"/>
    <w:rsid w:val="007C63A0"/>
    <w:rsid w:val="007D742A"/>
    <w:rsid w:val="007E6EC5"/>
    <w:rsid w:val="007E74D4"/>
    <w:rsid w:val="007F42F6"/>
    <w:rsid w:val="007F5A18"/>
    <w:rsid w:val="00805320"/>
    <w:rsid w:val="008074BE"/>
    <w:rsid w:val="008173CF"/>
    <w:rsid w:val="00821F65"/>
    <w:rsid w:val="008259B9"/>
    <w:rsid w:val="00831610"/>
    <w:rsid w:val="008357B3"/>
    <w:rsid w:val="00840BCA"/>
    <w:rsid w:val="008413D9"/>
    <w:rsid w:val="00845FD5"/>
    <w:rsid w:val="00847387"/>
    <w:rsid w:val="00847B2D"/>
    <w:rsid w:val="008554AC"/>
    <w:rsid w:val="00855887"/>
    <w:rsid w:val="008602AA"/>
    <w:rsid w:val="00867015"/>
    <w:rsid w:val="008672D5"/>
    <w:rsid w:val="0087496F"/>
    <w:rsid w:val="0087582A"/>
    <w:rsid w:val="00875D18"/>
    <w:rsid w:val="00880C14"/>
    <w:rsid w:val="00880F96"/>
    <w:rsid w:val="00896837"/>
    <w:rsid w:val="00896DFD"/>
    <w:rsid w:val="008B1D58"/>
    <w:rsid w:val="008B43C6"/>
    <w:rsid w:val="008B6514"/>
    <w:rsid w:val="008B6F7B"/>
    <w:rsid w:val="008C3B62"/>
    <w:rsid w:val="008D27C1"/>
    <w:rsid w:val="008E6FD0"/>
    <w:rsid w:val="008F0380"/>
    <w:rsid w:val="008F195B"/>
    <w:rsid w:val="008F3184"/>
    <w:rsid w:val="00900205"/>
    <w:rsid w:val="00900720"/>
    <w:rsid w:val="00912B31"/>
    <w:rsid w:val="00926D87"/>
    <w:rsid w:val="0093013A"/>
    <w:rsid w:val="00930EA0"/>
    <w:rsid w:val="00931C62"/>
    <w:rsid w:val="00946870"/>
    <w:rsid w:val="0095238D"/>
    <w:rsid w:val="00956709"/>
    <w:rsid w:val="009624E5"/>
    <w:rsid w:val="00964578"/>
    <w:rsid w:val="00965F84"/>
    <w:rsid w:val="00970336"/>
    <w:rsid w:val="0097228A"/>
    <w:rsid w:val="009724F9"/>
    <w:rsid w:val="009729B0"/>
    <w:rsid w:val="00976D7E"/>
    <w:rsid w:val="00981534"/>
    <w:rsid w:val="00983C02"/>
    <w:rsid w:val="00986874"/>
    <w:rsid w:val="00994EAE"/>
    <w:rsid w:val="00995ECC"/>
    <w:rsid w:val="009A4AC5"/>
    <w:rsid w:val="009B2908"/>
    <w:rsid w:val="009B7708"/>
    <w:rsid w:val="009D5D89"/>
    <w:rsid w:val="009E7267"/>
    <w:rsid w:val="00A068BE"/>
    <w:rsid w:val="00A215F7"/>
    <w:rsid w:val="00A25044"/>
    <w:rsid w:val="00A25E28"/>
    <w:rsid w:val="00A31547"/>
    <w:rsid w:val="00A376C6"/>
    <w:rsid w:val="00A40CF1"/>
    <w:rsid w:val="00A45398"/>
    <w:rsid w:val="00A459C5"/>
    <w:rsid w:val="00A5133F"/>
    <w:rsid w:val="00A537F1"/>
    <w:rsid w:val="00A55CAF"/>
    <w:rsid w:val="00A56822"/>
    <w:rsid w:val="00A5784F"/>
    <w:rsid w:val="00A64004"/>
    <w:rsid w:val="00A72B6B"/>
    <w:rsid w:val="00A82AD3"/>
    <w:rsid w:val="00A957A1"/>
    <w:rsid w:val="00AA6C62"/>
    <w:rsid w:val="00AB3D9D"/>
    <w:rsid w:val="00AB5F6C"/>
    <w:rsid w:val="00AC7C02"/>
    <w:rsid w:val="00AC7C1F"/>
    <w:rsid w:val="00AD29EE"/>
    <w:rsid w:val="00AE3598"/>
    <w:rsid w:val="00AE3FE2"/>
    <w:rsid w:val="00AF2713"/>
    <w:rsid w:val="00AF2996"/>
    <w:rsid w:val="00AF3CA0"/>
    <w:rsid w:val="00B02E0D"/>
    <w:rsid w:val="00B056D6"/>
    <w:rsid w:val="00B138B6"/>
    <w:rsid w:val="00B16F73"/>
    <w:rsid w:val="00B176D5"/>
    <w:rsid w:val="00B20F80"/>
    <w:rsid w:val="00B33CA2"/>
    <w:rsid w:val="00B34854"/>
    <w:rsid w:val="00B41E76"/>
    <w:rsid w:val="00B43D29"/>
    <w:rsid w:val="00B527E8"/>
    <w:rsid w:val="00B52D60"/>
    <w:rsid w:val="00B531D1"/>
    <w:rsid w:val="00B54AC5"/>
    <w:rsid w:val="00B56CE2"/>
    <w:rsid w:val="00B5704C"/>
    <w:rsid w:val="00B64020"/>
    <w:rsid w:val="00B93860"/>
    <w:rsid w:val="00B97133"/>
    <w:rsid w:val="00BA6EED"/>
    <w:rsid w:val="00BB11E6"/>
    <w:rsid w:val="00BB33A1"/>
    <w:rsid w:val="00BB3C87"/>
    <w:rsid w:val="00BC4216"/>
    <w:rsid w:val="00BC4E5F"/>
    <w:rsid w:val="00BC78BE"/>
    <w:rsid w:val="00BC7D74"/>
    <w:rsid w:val="00BD2E97"/>
    <w:rsid w:val="00BD5621"/>
    <w:rsid w:val="00BE21E4"/>
    <w:rsid w:val="00BE2F24"/>
    <w:rsid w:val="00BE6448"/>
    <w:rsid w:val="00BF5CE7"/>
    <w:rsid w:val="00C02566"/>
    <w:rsid w:val="00C040BF"/>
    <w:rsid w:val="00C06A0D"/>
    <w:rsid w:val="00C20252"/>
    <w:rsid w:val="00C27FEE"/>
    <w:rsid w:val="00C30031"/>
    <w:rsid w:val="00C3146C"/>
    <w:rsid w:val="00C414D8"/>
    <w:rsid w:val="00C42128"/>
    <w:rsid w:val="00C43ADB"/>
    <w:rsid w:val="00C43E3B"/>
    <w:rsid w:val="00C4698E"/>
    <w:rsid w:val="00C55719"/>
    <w:rsid w:val="00C55CCA"/>
    <w:rsid w:val="00C57CC3"/>
    <w:rsid w:val="00C61CE0"/>
    <w:rsid w:val="00C728E5"/>
    <w:rsid w:val="00C7592A"/>
    <w:rsid w:val="00C76137"/>
    <w:rsid w:val="00C77D85"/>
    <w:rsid w:val="00C9181A"/>
    <w:rsid w:val="00C9206D"/>
    <w:rsid w:val="00C92496"/>
    <w:rsid w:val="00C951A0"/>
    <w:rsid w:val="00C95297"/>
    <w:rsid w:val="00CA2C15"/>
    <w:rsid w:val="00CC192C"/>
    <w:rsid w:val="00CC6E2F"/>
    <w:rsid w:val="00CC7DF6"/>
    <w:rsid w:val="00CD1E30"/>
    <w:rsid w:val="00CE0B8A"/>
    <w:rsid w:val="00CE68C3"/>
    <w:rsid w:val="00CF08B4"/>
    <w:rsid w:val="00CF1C21"/>
    <w:rsid w:val="00CF7AC6"/>
    <w:rsid w:val="00D00783"/>
    <w:rsid w:val="00D10842"/>
    <w:rsid w:val="00D129E5"/>
    <w:rsid w:val="00D301D4"/>
    <w:rsid w:val="00D31E75"/>
    <w:rsid w:val="00D47757"/>
    <w:rsid w:val="00D64621"/>
    <w:rsid w:val="00D7256C"/>
    <w:rsid w:val="00D772C3"/>
    <w:rsid w:val="00D85521"/>
    <w:rsid w:val="00D85568"/>
    <w:rsid w:val="00D86293"/>
    <w:rsid w:val="00D931F9"/>
    <w:rsid w:val="00D95051"/>
    <w:rsid w:val="00DA1378"/>
    <w:rsid w:val="00DA3381"/>
    <w:rsid w:val="00DA3C01"/>
    <w:rsid w:val="00DA532D"/>
    <w:rsid w:val="00DA5490"/>
    <w:rsid w:val="00DB3E3E"/>
    <w:rsid w:val="00DB554F"/>
    <w:rsid w:val="00DC4CE8"/>
    <w:rsid w:val="00DC5B8A"/>
    <w:rsid w:val="00DC7199"/>
    <w:rsid w:val="00DD3902"/>
    <w:rsid w:val="00DE40D8"/>
    <w:rsid w:val="00DE5834"/>
    <w:rsid w:val="00DF1E8F"/>
    <w:rsid w:val="00DF54EF"/>
    <w:rsid w:val="00E13DE7"/>
    <w:rsid w:val="00E14031"/>
    <w:rsid w:val="00E305CE"/>
    <w:rsid w:val="00E3218B"/>
    <w:rsid w:val="00E37045"/>
    <w:rsid w:val="00E412F8"/>
    <w:rsid w:val="00E46C1F"/>
    <w:rsid w:val="00E470AE"/>
    <w:rsid w:val="00E50DD6"/>
    <w:rsid w:val="00E56F13"/>
    <w:rsid w:val="00E67086"/>
    <w:rsid w:val="00E72AAA"/>
    <w:rsid w:val="00E756B2"/>
    <w:rsid w:val="00E77E70"/>
    <w:rsid w:val="00E80EC7"/>
    <w:rsid w:val="00E918FC"/>
    <w:rsid w:val="00E92AA0"/>
    <w:rsid w:val="00E93AE5"/>
    <w:rsid w:val="00E94AC6"/>
    <w:rsid w:val="00E95F11"/>
    <w:rsid w:val="00EA17D0"/>
    <w:rsid w:val="00EA7BC3"/>
    <w:rsid w:val="00EB7ABD"/>
    <w:rsid w:val="00EC0149"/>
    <w:rsid w:val="00EC460F"/>
    <w:rsid w:val="00EC6424"/>
    <w:rsid w:val="00EC6E8E"/>
    <w:rsid w:val="00EC7438"/>
    <w:rsid w:val="00ED038F"/>
    <w:rsid w:val="00ED03D1"/>
    <w:rsid w:val="00ED3868"/>
    <w:rsid w:val="00ED5365"/>
    <w:rsid w:val="00ED5917"/>
    <w:rsid w:val="00EE4674"/>
    <w:rsid w:val="00F039A3"/>
    <w:rsid w:val="00F056CD"/>
    <w:rsid w:val="00F24C1A"/>
    <w:rsid w:val="00F33072"/>
    <w:rsid w:val="00F4239D"/>
    <w:rsid w:val="00F44640"/>
    <w:rsid w:val="00F4795D"/>
    <w:rsid w:val="00F536FE"/>
    <w:rsid w:val="00F61893"/>
    <w:rsid w:val="00F65961"/>
    <w:rsid w:val="00F716EE"/>
    <w:rsid w:val="00F7765C"/>
    <w:rsid w:val="00F77661"/>
    <w:rsid w:val="00F82F03"/>
    <w:rsid w:val="00F92091"/>
    <w:rsid w:val="00F9505D"/>
    <w:rsid w:val="00F95941"/>
    <w:rsid w:val="00FA0540"/>
    <w:rsid w:val="00FA5929"/>
    <w:rsid w:val="00FA6D59"/>
    <w:rsid w:val="00FB3B57"/>
    <w:rsid w:val="00FB3DCC"/>
    <w:rsid w:val="00FB3FDC"/>
    <w:rsid w:val="00FB522A"/>
    <w:rsid w:val="00FB7637"/>
    <w:rsid w:val="00FC3898"/>
    <w:rsid w:val="00FC3ECB"/>
    <w:rsid w:val="00FD03E3"/>
    <w:rsid w:val="00FD1681"/>
    <w:rsid w:val="00FD2779"/>
    <w:rsid w:val="00FD539E"/>
    <w:rsid w:val="00FE7F90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0786"/>
  <w15:docId w15:val="{C65337E4-2BE6-4B28-8E33-6A91BC7A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B3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12B31"/>
    <w:pPr>
      <w:keepNext/>
      <w:tabs>
        <w:tab w:val="left" w:pos="5616"/>
      </w:tabs>
      <w:ind w:left="-138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F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12B31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2B31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912B31"/>
  </w:style>
  <w:style w:type="paragraph" w:styleId="EnvelopeAddress">
    <w:name w:val="envelope address"/>
    <w:basedOn w:val="Normal"/>
    <w:rsid w:val="00912B3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Title">
    <w:name w:val="Title"/>
    <w:basedOn w:val="Normal"/>
    <w:qFormat/>
    <w:rsid w:val="00912B31"/>
    <w:pPr>
      <w:tabs>
        <w:tab w:val="left" w:pos="270"/>
        <w:tab w:val="left" w:pos="720"/>
        <w:tab w:val="left" w:pos="1584"/>
      </w:tabs>
      <w:spacing w:line="240" w:lineRule="atLeast"/>
      <w:jc w:val="center"/>
    </w:pPr>
    <w:rPr>
      <w:b/>
      <w:sz w:val="28"/>
      <w:szCs w:val="20"/>
    </w:rPr>
  </w:style>
  <w:style w:type="paragraph" w:styleId="Header">
    <w:name w:val="header"/>
    <w:basedOn w:val="Normal"/>
    <w:rsid w:val="00912B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556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D2E9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531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A0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6B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4640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nhideWhenUsed/>
    <w:rsid w:val="00880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2C3D-9A99-4988-8882-D2B45E2B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State of North Dakota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subject>Basin Transload, LLC</dc:subject>
  <dc:creator>Hoberg, Allen</dc:creator>
  <cp:keywords/>
  <dc:description/>
  <cp:lastModifiedBy>Victor Schock</cp:lastModifiedBy>
  <cp:revision>6</cp:revision>
  <cp:lastPrinted>2024-04-17T20:38:00Z</cp:lastPrinted>
  <dcterms:created xsi:type="dcterms:W3CDTF">2025-06-12T13:29:00Z</dcterms:created>
  <dcterms:modified xsi:type="dcterms:W3CDTF">2025-07-18T16:51:00Z</dcterms:modified>
</cp:coreProperties>
</file>